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9" w:type="dxa"/>
        <w:jc w:val="center"/>
        <w:tblLayout w:type="fixed"/>
        <w:tblLook w:val="04A0" w:firstRow="1" w:lastRow="0" w:firstColumn="1" w:lastColumn="0" w:noHBand="0" w:noVBand="1"/>
      </w:tblPr>
      <w:tblGrid>
        <w:gridCol w:w="3388"/>
        <w:gridCol w:w="6221"/>
      </w:tblGrid>
      <w:tr w:rsidR="008D4624" w:rsidRPr="008D4624" w14:paraId="7E95E00F" w14:textId="77777777" w:rsidTr="00C0684C">
        <w:trPr>
          <w:trHeight w:val="828"/>
          <w:jc w:val="center"/>
        </w:trPr>
        <w:tc>
          <w:tcPr>
            <w:tcW w:w="3388" w:type="dxa"/>
            <w:shd w:val="clear" w:color="auto" w:fill="auto"/>
          </w:tcPr>
          <w:p w14:paraId="587AD464" w14:textId="77777777" w:rsidR="00F7440C" w:rsidRPr="008D4624" w:rsidRDefault="00F7440C" w:rsidP="00C0684C">
            <w:pPr>
              <w:spacing w:after="0" w:line="240" w:lineRule="auto"/>
              <w:jc w:val="center"/>
              <w:rPr>
                <w:b/>
                <w:noProof/>
                <w:sz w:val="26"/>
                <w:szCs w:val="26"/>
              </w:rPr>
            </w:pPr>
            <w:r w:rsidRPr="008D4624">
              <w:rPr>
                <w:b/>
                <w:noProof/>
                <w:sz w:val="26"/>
                <w:szCs w:val="26"/>
              </w:rPr>
              <w:t>HỘI ĐỒNG NHÂN DÂN</w:t>
            </w:r>
          </w:p>
          <w:p w14:paraId="7B32F570" w14:textId="07A08B04" w:rsidR="00F7440C" w:rsidRPr="008D4624" w:rsidRDefault="00F7440C" w:rsidP="00C0684C">
            <w:pPr>
              <w:spacing w:after="0" w:line="240" w:lineRule="auto"/>
              <w:jc w:val="center"/>
              <w:rPr>
                <w:b/>
                <w:noProof/>
                <w:sz w:val="26"/>
                <w:szCs w:val="26"/>
              </w:rPr>
            </w:pPr>
            <w:r w:rsidRPr="008D4624">
              <w:rPr>
                <w:noProof/>
              </w:rPr>
              <mc:AlternateContent>
                <mc:Choice Requires="wps">
                  <w:drawing>
                    <wp:anchor distT="4294967293" distB="4294967293" distL="114300" distR="114300" simplePos="0" relativeHeight="251661312" behindDoc="0" locked="0" layoutInCell="1" allowOverlap="1" wp14:anchorId="7C0E9C59" wp14:editId="719D778A">
                      <wp:simplePos x="0" y="0"/>
                      <wp:positionH relativeFrom="margin">
                        <wp:posOffset>557530</wp:posOffset>
                      </wp:positionH>
                      <wp:positionV relativeFrom="paragraph">
                        <wp:posOffset>220345</wp:posOffset>
                      </wp:positionV>
                      <wp:extent cx="58229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ACF51" id="Straight Connector 6" o:spid="_x0000_s1026" style="position:absolute;z-index:2516613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43.9pt,17.35pt" to="89.7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">
                      <w10:wrap anchorx="margin"/>
                    </v:line>
                  </w:pict>
                </mc:Fallback>
              </mc:AlternateContent>
            </w:r>
            <w:r w:rsidR="00754665">
              <w:rPr>
                <w:b/>
                <w:noProof/>
                <w:sz w:val="26"/>
                <w:szCs w:val="26"/>
              </w:rPr>
              <w:t>HUYỆN ĐĂK GLEI</w:t>
            </w:r>
          </w:p>
        </w:tc>
        <w:tc>
          <w:tcPr>
            <w:tcW w:w="6221" w:type="dxa"/>
            <w:shd w:val="clear" w:color="auto" w:fill="auto"/>
          </w:tcPr>
          <w:p w14:paraId="6CFEC637" w14:textId="77777777" w:rsidR="00F7440C" w:rsidRPr="008D4624" w:rsidRDefault="00F7440C" w:rsidP="00C0684C">
            <w:pPr>
              <w:spacing w:after="0" w:line="240" w:lineRule="auto"/>
              <w:jc w:val="center"/>
              <w:rPr>
                <w:b/>
                <w:noProof/>
                <w:sz w:val="26"/>
                <w:szCs w:val="26"/>
              </w:rPr>
            </w:pPr>
            <w:r w:rsidRPr="008D4624">
              <w:rPr>
                <w:b/>
                <w:noProof/>
                <w:sz w:val="26"/>
                <w:szCs w:val="26"/>
              </w:rPr>
              <w:t>CỘNG HÒA XÃ HỘI CHỦ NGHĨA VIỆT NAM</w:t>
            </w:r>
          </w:p>
          <w:p w14:paraId="050727FE" w14:textId="77777777" w:rsidR="00F7440C" w:rsidRPr="008D4624" w:rsidRDefault="00F7440C" w:rsidP="00C0684C">
            <w:pPr>
              <w:spacing w:after="0" w:line="240" w:lineRule="auto"/>
              <w:jc w:val="center"/>
              <w:rPr>
                <w:b/>
                <w:noProof/>
                <w:sz w:val="26"/>
                <w:szCs w:val="26"/>
              </w:rPr>
            </w:pPr>
            <w:r w:rsidRPr="008D4624">
              <w:rPr>
                <w:noProof/>
              </w:rPr>
              <mc:AlternateContent>
                <mc:Choice Requires="wps">
                  <w:drawing>
                    <wp:anchor distT="4294967293" distB="4294967293" distL="114300" distR="114300" simplePos="0" relativeHeight="251659264" behindDoc="0" locked="0" layoutInCell="1" allowOverlap="1" wp14:anchorId="6F497F65" wp14:editId="71A92572">
                      <wp:simplePos x="0" y="0"/>
                      <wp:positionH relativeFrom="margin">
                        <wp:align>center</wp:align>
                      </wp:positionH>
                      <wp:positionV relativeFrom="paragraph">
                        <wp:posOffset>224154</wp:posOffset>
                      </wp:positionV>
                      <wp:extent cx="213995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0D74A" id="Straight Connector 4" o:spid="_x0000_s1026" style="position:absolute;z-index:251659264;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7.65pt" to="168.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">
                      <w10:wrap anchorx="margin"/>
                    </v:line>
                  </w:pict>
                </mc:Fallback>
              </mc:AlternateContent>
            </w:r>
            <w:r w:rsidRPr="008D4624">
              <w:rPr>
                <w:b/>
                <w:noProof/>
              </w:rPr>
              <w:t>Độc lập - Tự do - Hạnh phúc</w:t>
            </w:r>
          </w:p>
        </w:tc>
      </w:tr>
      <w:tr w:rsidR="00F7440C" w:rsidRPr="008D4624" w14:paraId="33793D5A" w14:textId="77777777" w:rsidTr="00C0684C">
        <w:trPr>
          <w:jc w:val="center"/>
        </w:trPr>
        <w:tc>
          <w:tcPr>
            <w:tcW w:w="3388" w:type="dxa"/>
            <w:shd w:val="clear" w:color="auto" w:fill="auto"/>
          </w:tcPr>
          <w:p w14:paraId="56C1A6C5" w14:textId="78CBB324" w:rsidR="00F7440C" w:rsidRPr="008D4624" w:rsidRDefault="00F7440C" w:rsidP="00E93D77">
            <w:pPr>
              <w:spacing w:after="0" w:line="240" w:lineRule="auto"/>
              <w:jc w:val="center"/>
              <w:rPr>
                <w:b/>
                <w:noProof/>
                <w:sz w:val="26"/>
                <w:szCs w:val="26"/>
              </w:rPr>
            </w:pPr>
            <w:r w:rsidRPr="008D4624">
              <w:rPr>
                <w:noProof/>
                <w:sz w:val="26"/>
                <w:szCs w:val="26"/>
                <w:lang w:val="nl-NL"/>
              </w:rPr>
              <w:t xml:space="preserve">Số: </w:t>
            </w:r>
            <w:r w:rsidR="00754665">
              <w:rPr>
                <w:noProof/>
                <w:sz w:val="26"/>
                <w:szCs w:val="26"/>
                <w:lang w:val="nl-NL"/>
              </w:rPr>
              <w:t xml:space="preserve">     </w:t>
            </w:r>
            <w:r w:rsidR="00B85BE5">
              <w:rPr>
                <w:noProof/>
                <w:sz w:val="26"/>
                <w:szCs w:val="26"/>
                <w:lang w:val="nl-NL"/>
              </w:rPr>
              <w:t xml:space="preserve">       </w:t>
            </w:r>
            <w:r w:rsidR="00754665">
              <w:rPr>
                <w:noProof/>
                <w:sz w:val="26"/>
                <w:szCs w:val="26"/>
                <w:lang w:val="nl-NL"/>
              </w:rPr>
              <w:t xml:space="preserve">  </w:t>
            </w:r>
            <w:r w:rsidRPr="008D4624">
              <w:rPr>
                <w:noProof/>
                <w:sz w:val="26"/>
                <w:szCs w:val="26"/>
                <w:lang w:val="nl-NL"/>
              </w:rPr>
              <w:t>/NQ-HĐND</w:t>
            </w:r>
          </w:p>
        </w:tc>
        <w:tc>
          <w:tcPr>
            <w:tcW w:w="6221" w:type="dxa"/>
            <w:shd w:val="clear" w:color="auto" w:fill="auto"/>
          </w:tcPr>
          <w:p w14:paraId="5E27AF34" w14:textId="20EC2B81" w:rsidR="00F7440C" w:rsidRPr="008D4624" w:rsidRDefault="00754665" w:rsidP="00B85BE5">
            <w:pPr>
              <w:spacing w:after="0" w:line="240" w:lineRule="auto"/>
              <w:jc w:val="center"/>
              <w:rPr>
                <w:b/>
                <w:noProof/>
                <w:sz w:val="26"/>
                <w:szCs w:val="26"/>
              </w:rPr>
            </w:pPr>
            <w:r>
              <w:rPr>
                <w:i/>
                <w:noProof/>
                <w:sz w:val="26"/>
                <w:szCs w:val="26"/>
                <w:lang w:val="nl-NL"/>
              </w:rPr>
              <w:t>Đăk Glei</w:t>
            </w:r>
            <w:r w:rsidR="00F7440C" w:rsidRPr="008D4624">
              <w:rPr>
                <w:i/>
                <w:noProof/>
                <w:sz w:val="26"/>
                <w:szCs w:val="26"/>
                <w:lang w:val="nl-NL"/>
              </w:rPr>
              <w:t>, ngày</w:t>
            </w:r>
            <w:r w:rsidR="003B2A47" w:rsidRPr="008D4624">
              <w:rPr>
                <w:i/>
                <w:noProof/>
                <w:sz w:val="26"/>
                <w:szCs w:val="26"/>
                <w:lang w:val="nl-NL"/>
              </w:rPr>
              <w:t xml:space="preserve"> </w:t>
            </w:r>
            <w:r w:rsidR="00B85BE5">
              <w:rPr>
                <w:i/>
                <w:noProof/>
                <w:sz w:val="26"/>
                <w:szCs w:val="26"/>
                <w:lang w:val="nl-NL"/>
              </w:rPr>
              <w:t xml:space="preserve">       </w:t>
            </w:r>
            <w:r w:rsidR="00350E5E" w:rsidRPr="008D4624">
              <w:rPr>
                <w:i/>
                <w:noProof/>
                <w:sz w:val="26"/>
                <w:szCs w:val="26"/>
                <w:lang w:val="nl-NL"/>
              </w:rPr>
              <w:t xml:space="preserve"> </w:t>
            </w:r>
            <w:r w:rsidR="00F7440C" w:rsidRPr="008D4624">
              <w:rPr>
                <w:i/>
                <w:noProof/>
                <w:sz w:val="26"/>
                <w:szCs w:val="26"/>
                <w:lang w:val="nl-NL"/>
              </w:rPr>
              <w:t xml:space="preserve">tháng </w:t>
            </w:r>
            <w:r w:rsidR="00B85BE5">
              <w:rPr>
                <w:i/>
                <w:noProof/>
                <w:sz w:val="26"/>
                <w:szCs w:val="26"/>
                <w:lang w:val="nl-NL"/>
              </w:rPr>
              <w:t xml:space="preserve">        </w:t>
            </w:r>
            <w:r w:rsidR="00F7440C" w:rsidRPr="008D4624">
              <w:rPr>
                <w:i/>
                <w:noProof/>
                <w:sz w:val="26"/>
                <w:szCs w:val="26"/>
                <w:lang w:val="nl-NL"/>
              </w:rPr>
              <w:t>năm 2024</w:t>
            </w:r>
          </w:p>
        </w:tc>
      </w:tr>
    </w:tbl>
    <w:p w14:paraId="4D3368E8" w14:textId="77777777" w:rsidR="00F7440C" w:rsidRPr="008D4624" w:rsidRDefault="00F7440C" w:rsidP="00F7440C">
      <w:pPr>
        <w:spacing w:after="0"/>
        <w:jc w:val="center"/>
        <w:rPr>
          <w:b/>
          <w:bCs/>
          <w:sz w:val="38"/>
          <w:lang w:val="nl-NL"/>
        </w:rPr>
      </w:pPr>
    </w:p>
    <w:p w14:paraId="484C637F" w14:textId="77777777" w:rsidR="00F7440C" w:rsidRPr="008D4624" w:rsidRDefault="00F7440C" w:rsidP="00F7440C">
      <w:pPr>
        <w:spacing w:after="0"/>
        <w:jc w:val="center"/>
        <w:rPr>
          <w:b/>
          <w:bCs/>
          <w:lang w:val="nl-NL"/>
        </w:rPr>
      </w:pPr>
      <w:r w:rsidRPr="008D4624">
        <w:rPr>
          <w:b/>
          <w:bCs/>
          <w:lang w:val="nl-NL"/>
        </w:rPr>
        <w:t>NGHỊ QUYẾT</w:t>
      </w:r>
    </w:p>
    <w:p w14:paraId="3591E976" w14:textId="0B45A77E" w:rsidR="005F5F3D" w:rsidRPr="008D4624" w:rsidRDefault="00F7440C" w:rsidP="00F7440C">
      <w:pPr>
        <w:spacing w:after="0"/>
        <w:jc w:val="center"/>
        <w:rPr>
          <w:b/>
          <w:bCs/>
          <w:lang w:val="nl-NL"/>
        </w:rPr>
      </w:pPr>
      <w:r w:rsidRPr="008D4624">
        <w:rPr>
          <w:b/>
          <w:bCs/>
          <w:lang w:val="nl-NL"/>
        </w:rPr>
        <w:t xml:space="preserve">Về chất vấn và trả lời chất vấn tại Kỳ họp thứ </w:t>
      </w:r>
      <w:r w:rsidR="00350E5E" w:rsidRPr="008D4624">
        <w:rPr>
          <w:b/>
          <w:bCs/>
          <w:lang w:val="nl-NL"/>
        </w:rPr>
        <w:t>8</w:t>
      </w:r>
      <w:r w:rsidRPr="008D4624">
        <w:rPr>
          <w:b/>
          <w:bCs/>
          <w:lang w:val="nl-NL"/>
        </w:rPr>
        <w:t xml:space="preserve"> HĐND </w:t>
      </w:r>
      <w:r w:rsidR="00754665">
        <w:rPr>
          <w:b/>
          <w:bCs/>
          <w:lang w:val="nl-NL"/>
        </w:rPr>
        <w:t>huyện</w:t>
      </w:r>
    </w:p>
    <w:p w14:paraId="39B6240B" w14:textId="4F5C90E3" w:rsidR="00F7440C" w:rsidRPr="008D4624" w:rsidRDefault="00F7440C" w:rsidP="00F7440C">
      <w:pPr>
        <w:spacing w:after="0"/>
        <w:jc w:val="center"/>
        <w:rPr>
          <w:b/>
          <w:bCs/>
          <w:lang w:val="nl-NL"/>
        </w:rPr>
      </w:pPr>
      <w:r w:rsidRPr="008D4624">
        <w:rPr>
          <w:b/>
          <w:bCs/>
          <w:lang w:val="nl-NL"/>
        </w:rPr>
        <w:t>Khóa X</w:t>
      </w:r>
      <w:r w:rsidR="00754665">
        <w:rPr>
          <w:b/>
          <w:bCs/>
          <w:lang w:val="nl-NL"/>
        </w:rPr>
        <w:t>V</w:t>
      </w:r>
      <w:r w:rsidR="005F5F3D" w:rsidRPr="008D4624">
        <w:rPr>
          <w:b/>
          <w:bCs/>
          <w:lang w:val="nl-NL"/>
        </w:rPr>
        <w:t>, nhiệm kỳ 2021-2026</w:t>
      </w:r>
    </w:p>
    <w:p w14:paraId="1B917B1D" w14:textId="77777777" w:rsidR="00F7440C" w:rsidRPr="008D4624" w:rsidRDefault="00D15F8A" w:rsidP="00F7440C">
      <w:pPr>
        <w:spacing w:after="0"/>
        <w:jc w:val="center"/>
        <w:rPr>
          <w:b/>
          <w:noProof/>
          <w:lang w:val="nl-NL"/>
        </w:rPr>
      </w:pPr>
      <w:r w:rsidRPr="008D4624">
        <w:rPr>
          <w:b/>
          <w:noProof/>
        </w:rPr>
        <mc:AlternateContent>
          <mc:Choice Requires="wps">
            <w:drawing>
              <wp:anchor distT="0" distB="0" distL="114300" distR="114300" simplePos="0" relativeHeight="251662336" behindDoc="0" locked="0" layoutInCell="1" allowOverlap="1" wp14:anchorId="010E8C04" wp14:editId="261E23D6">
                <wp:simplePos x="0" y="0"/>
                <wp:positionH relativeFrom="margin">
                  <wp:align>center</wp:align>
                </wp:positionH>
                <wp:positionV relativeFrom="paragraph">
                  <wp:posOffset>17145</wp:posOffset>
                </wp:positionV>
                <wp:extent cx="855552"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8555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F6E2C5" id="Straight Connector 1" o:spid="_x0000_s1026" style="position:absolute;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5pt" to="67.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" strokecolor="black [3200]" strokeweight=".5pt">
                <v:stroke joinstyle="miter"/>
                <w10:wrap anchorx="margin"/>
              </v:line>
            </w:pict>
          </mc:Fallback>
        </mc:AlternateContent>
      </w:r>
    </w:p>
    <w:p w14:paraId="372CB518" w14:textId="27808F23" w:rsidR="00F7440C" w:rsidRPr="008D4624" w:rsidRDefault="00F7440C" w:rsidP="00F7440C">
      <w:pPr>
        <w:spacing w:after="0"/>
        <w:jc w:val="center"/>
        <w:rPr>
          <w:b/>
          <w:noProof/>
          <w:lang w:val="nl-NL"/>
        </w:rPr>
      </w:pPr>
      <w:r w:rsidRPr="008D4624">
        <w:rPr>
          <w:b/>
          <w:noProof/>
          <w:lang w:val="nl-NL"/>
        </w:rPr>
        <w:t xml:space="preserve">HỘI ĐỒNG NHÂN DÂN </w:t>
      </w:r>
      <w:r w:rsidR="00754665">
        <w:rPr>
          <w:b/>
          <w:noProof/>
          <w:lang w:val="nl-NL"/>
        </w:rPr>
        <w:t>HUYỆN ĐĂK GLEI</w:t>
      </w:r>
    </w:p>
    <w:p w14:paraId="492C1DFA" w14:textId="07A2BB58" w:rsidR="00F7440C" w:rsidRPr="008D4624" w:rsidRDefault="00F7440C" w:rsidP="00F7440C">
      <w:pPr>
        <w:spacing w:after="0"/>
        <w:jc w:val="center"/>
        <w:rPr>
          <w:b/>
          <w:noProof/>
          <w:lang w:val="nl-NL"/>
        </w:rPr>
      </w:pPr>
      <w:r w:rsidRPr="008D4624">
        <w:rPr>
          <w:b/>
          <w:noProof/>
          <w:lang w:val="nl-NL"/>
        </w:rPr>
        <w:t>KHÓA X</w:t>
      </w:r>
      <w:r w:rsidR="00754665">
        <w:rPr>
          <w:b/>
          <w:noProof/>
          <w:lang w:val="nl-NL"/>
        </w:rPr>
        <w:t>V</w:t>
      </w:r>
      <w:r w:rsidRPr="008D4624">
        <w:rPr>
          <w:b/>
          <w:noProof/>
          <w:lang w:val="nl-NL"/>
        </w:rPr>
        <w:t xml:space="preserve"> KỲ HỌP THỨ </w:t>
      </w:r>
      <w:r w:rsidR="00E42E0A" w:rsidRPr="008D4624">
        <w:rPr>
          <w:b/>
          <w:noProof/>
          <w:lang w:val="nl-NL"/>
        </w:rPr>
        <w:t>8</w:t>
      </w:r>
    </w:p>
    <w:p w14:paraId="3C86EBDE" w14:textId="77777777" w:rsidR="00F7440C" w:rsidRPr="008D4624" w:rsidRDefault="00F7440C" w:rsidP="00F7440C">
      <w:pPr>
        <w:pStyle w:val="BodyText"/>
        <w:tabs>
          <w:tab w:val="clear" w:pos="567"/>
        </w:tabs>
        <w:spacing w:before="0" w:after="100"/>
        <w:ind w:firstLine="567"/>
        <w:jc w:val="both"/>
        <w:rPr>
          <w:rFonts w:ascii="Times New Roman" w:hAnsi="Times New Roman"/>
          <w:i/>
          <w:sz w:val="32"/>
          <w:szCs w:val="28"/>
          <w:lang w:val="nl-NL"/>
        </w:rPr>
      </w:pPr>
    </w:p>
    <w:p w14:paraId="1F137AA4" w14:textId="77777777" w:rsidR="00F7440C" w:rsidRPr="008D4624" w:rsidRDefault="00F7440C" w:rsidP="00DD7230">
      <w:pPr>
        <w:pStyle w:val="BodyText"/>
        <w:tabs>
          <w:tab w:val="clear" w:pos="567"/>
        </w:tabs>
        <w:spacing w:before="0" w:after="0"/>
        <w:ind w:firstLine="720"/>
        <w:jc w:val="both"/>
        <w:rPr>
          <w:rFonts w:ascii="Times New Roman" w:hAnsi="Times New Roman"/>
          <w:i/>
          <w:noProof/>
          <w:szCs w:val="28"/>
          <w:lang w:val="nl-NL"/>
        </w:rPr>
      </w:pPr>
      <w:r w:rsidRPr="008D4624">
        <w:rPr>
          <w:rFonts w:ascii="Times New Roman" w:hAnsi="Times New Roman"/>
          <w:i/>
          <w:szCs w:val="28"/>
          <w:lang w:val="nl-NL"/>
        </w:rPr>
        <w:t xml:space="preserve">Căn cứ Luật Tổ chức chính quyền địa phương ngày 19 tháng 6 năm </w:t>
      </w:r>
      <w:r w:rsidRPr="008D4624">
        <w:rPr>
          <w:rFonts w:ascii="Times New Roman" w:hAnsi="Times New Roman"/>
          <w:i/>
          <w:noProof/>
          <w:szCs w:val="28"/>
          <w:lang w:val="nl-NL"/>
        </w:rPr>
        <w:t>2015;</w:t>
      </w:r>
      <w:r w:rsidRPr="008D4624">
        <w:rPr>
          <w:rFonts w:ascii="Times New Roman" w:hAnsi="Times New Roman"/>
          <w:i/>
          <w:szCs w:val="28"/>
          <w:lang w:val="nl-NL"/>
        </w:rPr>
        <w:t xml:space="preserve"> </w:t>
      </w:r>
      <w:r w:rsidRPr="008D4624">
        <w:rPr>
          <w:rFonts w:ascii="Times New Roman" w:hAnsi="Times New Roman"/>
          <w:i/>
          <w:noProof/>
          <w:szCs w:val="28"/>
          <w:lang w:val="nl-NL"/>
        </w:rPr>
        <w:t>Luật sửa đổi, bổ sung một số điều của Luật Tổ chức Chính phủ và Luật Tổ chức chính quyền địa phương ngày 22 tháng 11 năm 2019;</w:t>
      </w:r>
    </w:p>
    <w:p w14:paraId="4954BAFF" w14:textId="77777777" w:rsidR="00F7440C" w:rsidRPr="008D4624" w:rsidRDefault="00F7440C" w:rsidP="00DD7230">
      <w:pPr>
        <w:pStyle w:val="BodyText"/>
        <w:tabs>
          <w:tab w:val="clear" w:pos="567"/>
        </w:tabs>
        <w:spacing w:before="0" w:after="0"/>
        <w:ind w:firstLine="720"/>
        <w:jc w:val="both"/>
        <w:rPr>
          <w:rFonts w:ascii="Times New Roman" w:hAnsi="Times New Roman"/>
          <w:i/>
          <w:noProof/>
          <w:szCs w:val="28"/>
          <w:lang w:val="nl-NL"/>
        </w:rPr>
      </w:pPr>
      <w:r w:rsidRPr="008D4624">
        <w:rPr>
          <w:rFonts w:ascii="Times New Roman" w:hAnsi="Times New Roman"/>
          <w:i/>
          <w:noProof/>
          <w:szCs w:val="28"/>
          <w:lang w:val="nl-NL"/>
        </w:rPr>
        <w:t>Căn cứ Luật Hoạt động giám sát của Quốc hội và Hội đồng nhân dân ngày 20 tháng 11 năm 2015;</w:t>
      </w:r>
    </w:p>
    <w:p w14:paraId="5296A52C" w14:textId="77777777" w:rsidR="00F7440C" w:rsidRPr="008D4624" w:rsidRDefault="00F7440C" w:rsidP="00DD7230">
      <w:pPr>
        <w:pStyle w:val="BodyText"/>
        <w:tabs>
          <w:tab w:val="clear" w:pos="567"/>
        </w:tabs>
        <w:spacing w:before="0" w:after="0"/>
        <w:ind w:firstLine="720"/>
        <w:jc w:val="both"/>
        <w:rPr>
          <w:rFonts w:ascii="Times New Roman" w:hAnsi="Times New Roman"/>
          <w:i/>
          <w:noProof/>
          <w:szCs w:val="28"/>
          <w:lang w:val="nl-NL"/>
        </w:rPr>
      </w:pPr>
      <w:r w:rsidRPr="008D4624">
        <w:rPr>
          <w:rFonts w:ascii="Times New Roman" w:hAnsi="Times New Roman"/>
          <w:i/>
          <w:szCs w:val="28"/>
          <w:shd w:val="clear" w:color="auto" w:fill="FFFFFF"/>
          <w:lang w:val="nl-NL"/>
        </w:rPr>
        <w:t xml:space="preserve">Căn cứ </w:t>
      </w:r>
      <w:r w:rsidRPr="008D4624">
        <w:rPr>
          <w:rFonts w:ascii="Times New Roman" w:hAnsi="Times New Roman"/>
          <w:i/>
          <w:szCs w:val="28"/>
          <w:lang w:val="nl-NL"/>
        </w:rPr>
        <w:t xml:space="preserve">Nghị quyết số 594/NQ-UBTVQH15 ngày 12 tháng 9 năm 2022 của Ủy ban </w:t>
      </w:r>
      <w:r w:rsidR="00D43E7A" w:rsidRPr="008D4624">
        <w:rPr>
          <w:rFonts w:ascii="Times New Roman" w:hAnsi="Times New Roman"/>
          <w:i/>
          <w:szCs w:val="28"/>
          <w:lang w:val="nl-NL"/>
        </w:rPr>
        <w:t>t</w:t>
      </w:r>
      <w:r w:rsidRPr="008D4624">
        <w:rPr>
          <w:rFonts w:ascii="Times New Roman" w:hAnsi="Times New Roman"/>
          <w:i/>
          <w:szCs w:val="28"/>
          <w:lang w:val="nl-NL"/>
        </w:rPr>
        <w:t xml:space="preserve">hường vụ Quốc hội hướng dẫn hoạt động giám sát của </w:t>
      </w:r>
      <w:r w:rsidRPr="008D4624">
        <w:rPr>
          <w:rFonts w:ascii="Times New Roman" w:hAnsi="Times New Roman"/>
          <w:i/>
          <w:noProof/>
          <w:szCs w:val="28"/>
          <w:lang w:val="nl-NL"/>
        </w:rPr>
        <w:t>Hội đồng nhân dân</w:t>
      </w:r>
      <w:r w:rsidRPr="008D4624">
        <w:rPr>
          <w:rFonts w:ascii="Times New Roman" w:hAnsi="Times New Roman"/>
          <w:i/>
          <w:szCs w:val="28"/>
          <w:lang w:val="nl-NL"/>
        </w:rPr>
        <w:t xml:space="preserve">, Thường trực </w:t>
      </w:r>
      <w:r w:rsidRPr="008D4624">
        <w:rPr>
          <w:rFonts w:ascii="Times New Roman" w:hAnsi="Times New Roman"/>
          <w:i/>
          <w:noProof/>
          <w:szCs w:val="28"/>
          <w:lang w:val="nl-NL"/>
        </w:rPr>
        <w:t>Hội đồng nhân dân</w:t>
      </w:r>
      <w:r w:rsidRPr="008D4624">
        <w:rPr>
          <w:rFonts w:ascii="Times New Roman" w:hAnsi="Times New Roman"/>
          <w:i/>
          <w:szCs w:val="28"/>
          <w:lang w:val="nl-NL"/>
        </w:rPr>
        <w:t xml:space="preserve">, các Ban của </w:t>
      </w:r>
      <w:r w:rsidRPr="008D4624">
        <w:rPr>
          <w:rFonts w:ascii="Times New Roman" w:hAnsi="Times New Roman"/>
          <w:i/>
          <w:noProof/>
          <w:szCs w:val="28"/>
          <w:lang w:val="nl-NL"/>
        </w:rPr>
        <w:t>Hội đồng nhân dân</w:t>
      </w:r>
      <w:r w:rsidRPr="008D4624">
        <w:rPr>
          <w:rFonts w:ascii="Times New Roman" w:hAnsi="Times New Roman"/>
          <w:i/>
          <w:szCs w:val="28"/>
          <w:lang w:val="nl-NL"/>
        </w:rPr>
        <w:t xml:space="preserve">, Tổ đại biểu </w:t>
      </w:r>
      <w:r w:rsidRPr="008D4624">
        <w:rPr>
          <w:rFonts w:ascii="Times New Roman" w:hAnsi="Times New Roman"/>
          <w:i/>
          <w:noProof/>
          <w:szCs w:val="28"/>
          <w:lang w:val="nl-NL"/>
        </w:rPr>
        <w:t>Hội đồng nhân dân</w:t>
      </w:r>
      <w:r w:rsidRPr="008D4624">
        <w:rPr>
          <w:rFonts w:ascii="Times New Roman" w:hAnsi="Times New Roman"/>
          <w:i/>
          <w:szCs w:val="28"/>
          <w:lang w:val="nl-NL"/>
        </w:rPr>
        <w:t xml:space="preserve"> và đại biểu </w:t>
      </w:r>
      <w:r w:rsidRPr="008D4624">
        <w:rPr>
          <w:rFonts w:ascii="Times New Roman" w:hAnsi="Times New Roman"/>
          <w:i/>
          <w:noProof/>
          <w:szCs w:val="28"/>
          <w:lang w:val="nl-NL"/>
        </w:rPr>
        <w:t>Hội đồng nhân dân</w:t>
      </w:r>
      <w:r w:rsidRPr="008D4624">
        <w:rPr>
          <w:rFonts w:ascii="Times New Roman" w:hAnsi="Times New Roman"/>
          <w:i/>
          <w:szCs w:val="28"/>
          <w:lang w:val="nl-NL"/>
        </w:rPr>
        <w:t>;</w:t>
      </w:r>
    </w:p>
    <w:p w14:paraId="784B6F55" w14:textId="4A780C2F" w:rsidR="00F7440C" w:rsidRPr="008D4624" w:rsidRDefault="00F7440C" w:rsidP="00DD7230">
      <w:pPr>
        <w:spacing w:after="0" w:line="240" w:lineRule="auto"/>
        <w:ind w:firstLine="720"/>
        <w:jc w:val="both"/>
        <w:rPr>
          <w:noProof/>
          <w:sz w:val="18"/>
          <w:lang w:val="nl-NL"/>
        </w:rPr>
      </w:pPr>
      <w:r w:rsidRPr="008D4624">
        <w:rPr>
          <w:rFonts w:eastAsia="Times New Roman"/>
          <w:i/>
          <w:noProof/>
          <w:lang w:val="nl-NL"/>
        </w:rPr>
        <w:t xml:space="preserve">Căn cứ </w:t>
      </w:r>
      <w:r w:rsidRPr="008D4624">
        <w:rPr>
          <w:rFonts w:eastAsia="Times New Roman"/>
          <w:i/>
          <w:iCs/>
          <w:noProof/>
          <w:lang w:val="nl-NL"/>
        </w:rPr>
        <w:t xml:space="preserve">kết quả chất vấn, trả lời chất vấn tại </w:t>
      </w:r>
      <w:r w:rsidR="00D43E7A" w:rsidRPr="008D4624">
        <w:rPr>
          <w:rFonts w:eastAsia="Times New Roman"/>
          <w:i/>
          <w:iCs/>
          <w:noProof/>
          <w:lang w:val="nl-NL"/>
        </w:rPr>
        <w:t>k</w:t>
      </w:r>
      <w:r w:rsidRPr="008D4624">
        <w:rPr>
          <w:rFonts w:eastAsia="Times New Roman"/>
          <w:i/>
          <w:iCs/>
          <w:noProof/>
          <w:lang w:val="nl-NL"/>
        </w:rPr>
        <w:t xml:space="preserve">ỳ họp và </w:t>
      </w:r>
      <w:r w:rsidRPr="008D4624">
        <w:rPr>
          <w:rFonts w:eastAsia="Times New Roman"/>
          <w:i/>
          <w:noProof/>
          <w:lang w:val="nl-NL"/>
        </w:rPr>
        <w:t>ý kiến thảo luận của</w:t>
      </w:r>
      <w:r w:rsidRPr="008D4624">
        <w:rPr>
          <w:i/>
          <w:noProof/>
          <w:lang w:val="nl-NL"/>
        </w:rPr>
        <w:t xml:space="preserve"> đại biểu </w:t>
      </w:r>
      <w:r w:rsidR="005F5F3D" w:rsidRPr="008D4624">
        <w:rPr>
          <w:i/>
          <w:noProof/>
          <w:lang w:val="nl-NL"/>
        </w:rPr>
        <w:t>Hội đồng nhân dân</w:t>
      </w:r>
      <w:r w:rsidRPr="008D4624">
        <w:rPr>
          <w:i/>
          <w:noProof/>
          <w:lang w:val="nl-NL"/>
        </w:rPr>
        <w:t xml:space="preserve"> </w:t>
      </w:r>
      <w:r w:rsidR="00754665">
        <w:rPr>
          <w:i/>
          <w:noProof/>
          <w:lang w:val="nl-NL"/>
        </w:rPr>
        <w:t>huyện</w:t>
      </w:r>
      <w:r w:rsidRPr="008D4624">
        <w:rPr>
          <w:i/>
          <w:noProof/>
          <w:lang w:val="nl-NL"/>
        </w:rPr>
        <w:t xml:space="preserve"> tại kỳ họp.</w:t>
      </w:r>
    </w:p>
    <w:p w14:paraId="00FB14BB" w14:textId="77777777" w:rsidR="00F7440C" w:rsidRPr="008D4624" w:rsidRDefault="00F7440C" w:rsidP="00DD7230">
      <w:pPr>
        <w:spacing w:before="120" w:after="120" w:line="240" w:lineRule="auto"/>
        <w:jc w:val="center"/>
        <w:rPr>
          <w:lang w:val="nl-NL"/>
        </w:rPr>
      </w:pPr>
      <w:r w:rsidRPr="008D4624">
        <w:rPr>
          <w:b/>
          <w:bCs/>
          <w:lang w:val="nl-NL"/>
        </w:rPr>
        <w:t>QUYẾT NGHỊ:</w:t>
      </w:r>
    </w:p>
    <w:p w14:paraId="3B56FF5C" w14:textId="08016262" w:rsidR="002C3A89" w:rsidRPr="008D4624" w:rsidRDefault="00F7440C" w:rsidP="00DD7230">
      <w:pPr>
        <w:spacing w:after="0" w:line="240" w:lineRule="auto"/>
        <w:ind w:firstLine="720"/>
        <w:jc w:val="both"/>
        <w:rPr>
          <w:sz w:val="16"/>
          <w:lang w:val="nl-NL"/>
        </w:rPr>
      </w:pPr>
      <w:r w:rsidRPr="008D4624">
        <w:rPr>
          <w:b/>
          <w:lang w:val="nl-NL"/>
        </w:rPr>
        <w:t>Điều 1.</w:t>
      </w:r>
      <w:r w:rsidRPr="008D4624">
        <w:rPr>
          <w:lang w:val="nl-NL"/>
        </w:rPr>
        <w:t xml:space="preserve"> </w:t>
      </w:r>
      <w:r w:rsidR="004A00BC" w:rsidRPr="008D4624">
        <w:rPr>
          <w:lang w:val="nl-NL"/>
        </w:rPr>
        <w:t xml:space="preserve">Hội đồng nhân dân </w:t>
      </w:r>
      <w:r w:rsidR="00754665">
        <w:rPr>
          <w:lang w:val="nl-NL"/>
        </w:rPr>
        <w:t>huyện</w:t>
      </w:r>
      <w:r w:rsidR="004A00BC" w:rsidRPr="008D4624">
        <w:rPr>
          <w:lang w:val="nl-NL"/>
        </w:rPr>
        <w:t xml:space="preserve"> cơ bản tán thành với nội dung trả lời chất vấn </w:t>
      </w:r>
      <w:r w:rsidR="00E01E31" w:rsidRPr="008D4624">
        <w:rPr>
          <w:lang w:val="nl-NL"/>
        </w:rPr>
        <w:t xml:space="preserve">về </w:t>
      </w:r>
      <w:r w:rsidR="00350E5E" w:rsidRPr="008D4624">
        <w:rPr>
          <w:lang w:val="nl-NL"/>
        </w:rPr>
        <w:t>0</w:t>
      </w:r>
      <w:r w:rsidR="00754665">
        <w:rPr>
          <w:lang w:val="nl-NL"/>
        </w:rPr>
        <w:t>6</w:t>
      </w:r>
      <w:r w:rsidR="004A00BC" w:rsidRPr="008D4624">
        <w:rPr>
          <w:lang w:val="nl-NL"/>
        </w:rPr>
        <w:t xml:space="preserve"> vấn đề đại biểu Hội đồng nhân dân nêu ra</w:t>
      </w:r>
      <w:r w:rsidR="004A00BC" w:rsidRPr="008D4624">
        <w:rPr>
          <w:vertAlign w:val="superscript"/>
          <w:lang w:val="nl-NL"/>
        </w:rPr>
        <w:t>(</w:t>
      </w:r>
      <w:r w:rsidR="004A00BC" w:rsidRPr="008D4624">
        <w:rPr>
          <w:rStyle w:val="FootnoteReference"/>
          <w:lang w:val="nl-NL"/>
        </w:rPr>
        <w:footnoteReference w:id="1"/>
      </w:r>
      <w:r w:rsidR="004A00BC" w:rsidRPr="008D4624">
        <w:rPr>
          <w:vertAlign w:val="superscript"/>
          <w:lang w:val="nl-NL"/>
        </w:rPr>
        <w:t>)</w:t>
      </w:r>
      <w:r w:rsidR="004A00BC" w:rsidRPr="008D4624">
        <w:rPr>
          <w:lang w:val="nl-NL"/>
        </w:rPr>
        <w:t xml:space="preserve">, đồng thời ghi nhận sự nỗ lực, cố gắng </w:t>
      </w:r>
      <w:r w:rsidR="00E01E31" w:rsidRPr="008D4624">
        <w:rPr>
          <w:lang w:val="nl-NL"/>
        </w:rPr>
        <w:t xml:space="preserve">của các thành viên Ủy ban nhân dân </w:t>
      </w:r>
      <w:r w:rsidR="00754665">
        <w:rPr>
          <w:lang w:val="nl-NL"/>
        </w:rPr>
        <w:t>huyện</w:t>
      </w:r>
      <w:r w:rsidR="00E01E31" w:rsidRPr="008D4624">
        <w:rPr>
          <w:lang w:val="nl-NL"/>
        </w:rPr>
        <w:t xml:space="preserve"> và các </w:t>
      </w:r>
      <w:r w:rsidR="00CF14BE">
        <w:rPr>
          <w:lang w:val="nl-NL"/>
        </w:rPr>
        <w:t xml:space="preserve">cơ quan, đơn vị, </w:t>
      </w:r>
      <w:r w:rsidR="00E01E31" w:rsidRPr="008D4624">
        <w:rPr>
          <w:lang w:val="nl-NL"/>
        </w:rPr>
        <w:t xml:space="preserve">địa phương </w:t>
      </w:r>
      <w:r w:rsidR="004A00BC" w:rsidRPr="008D4624">
        <w:rPr>
          <w:lang w:val="nl-NL"/>
        </w:rPr>
        <w:t>trong thực hiện nhiệm vụ được giao và các cam kết, lời hứa khắc phục các hạn chế, yếu kém</w:t>
      </w:r>
      <w:r w:rsidR="00E01E31" w:rsidRPr="008D4624">
        <w:rPr>
          <w:lang w:val="nl-NL"/>
        </w:rPr>
        <w:t xml:space="preserve"> đã được chỉ ra qua chất vấn.</w:t>
      </w:r>
    </w:p>
    <w:p w14:paraId="138F3375" w14:textId="5DFCDA60" w:rsidR="00F7440C" w:rsidRPr="008D4624" w:rsidRDefault="00F7440C" w:rsidP="00DD7230">
      <w:pPr>
        <w:spacing w:after="0" w:line="240" w:lineRule="auto"/>
        <w:ind w:firstLine="720"/>
        <w:jc w:val="both"/>
        <w:rPr>
          <w:lang w:val="nl-NL"/>
        </w:rPr>
      </w:pPr>
      <w:r w:rsidRPr="008D4624">
        <w:rPr>
          <w:b/>
          <w:lang w:val="nl-NL"/>
        </w:rPr>
        <w:t xml:space="preserve">Điều 2. </w:t>
      </w:r>
      <w:r w:rsidRPr="008D4624">
        <w:rPr>
          <w:lang w:val="nl-NL"/>
        </w:rPr>
        <w:t xml:space="preserve">Hội đồng nhân dân </w:t>
      </w:r>
      <w:r w:rsidR="00754665">
        <w:rPr>
          <w:lang w:val="nl-NL"/>
        </w:rPr>
        <w:t>huyện</w:t>
      </w:r>
      <w:r w:rsidRPr="008D4624">
        <w:rPr>
          <w:lang w:val="nl-NL"/>
        </w:rPr>
        <w:t xml:space="preserve"> đề nghị Ủy ban nhân dân </w:t>
      </w:r>
      <w:r w:rsidR="00754665">
        <w:rPr>
          <w:lang w:val="nl-NL"/>
        </w:rPr>
        <w:t>huyện</w:t>
      </w:r>
      <w:r w:rsidRPr="008D4624">
        <w:rPr>
          <w:lang w:val="nl-NL"/>
        </w:rPr>
        <w:t xml:space="preserve">, Chủ tịch Ủy ban nhân dân </w:t>
      </w:r>
      <w:r w:rsidR="00754665">
        <w:rPr>
          <w:lang w:val="nl-NL"/>
        </w:rPr>
        <w:t>huyện</w:t>
      </w:r>
      <w:r w:rsidRPr="008D4624">
        <w:rPr>
          <w:lang w:val="nl-NL"/>
        </w:rPr>
        <w:t xml:space="preserve">, thủ trưởng các </w:t>
      </w:r>
      <w:r w:rsidR="00754665">
        <w:rPr>
          <w:lang w:val="nl-NL"/>
        </w:rPr>
        <w:t>phòng</w:t>
      </w:r>
      <w:r w:rsidRPr="008D4624">
        <w:rPr>
          <w:lang w:val="nl-NL"/>
        </w:rPr>
        <w:t xml:space="preserve">, </w:t>
      </w:r>
      <w:r w:rsidR="00754665">
        <w:rPr>
          <w:lang w:val="nl-NL"/>
        </w:rPr>
        <w:t xml:space="preserve">ban </w:t>
      </w:r>
      <w:r w:rsidRPr="008D4624">
        <w:rPr>
          <w:lang w:val="nl-NL"/>
        </w:rPr>
        <w:t xml:space="preserve">ngành, địa phương thực hiện </w:t>
      </w:r>
      <w:r w:rsidR="002C3A89" w:rsidRPr="008D4624">
        <w:rPr>
          <w:lang w:val="nl-NL"/>
        </w:rPr>
        <w:t xml:space="preserve">nghiêm túc, hiệu quả </w:t>
      </w:r>
      <w:r w:rsidRPr="008D4624">
        <w:rPr>
          <w:lang w:val="nl-NL"/>
        </w:rPr>
        <w:t>lời hứa</w:t>
      </w:r>
      <w:r w:rsidR="0083340C" w:rsidRPr="008D4624">
        <w:rPr>
          <w:lang w:val="nl-NL"/>
        </w:rPr>
        <w:t>,</w:t>
      </w:r>
      <w:r w:rsidRPr="008D4624">
        <w:rPr>
          <w:lang w:val="nl-NL"/>
        </w:rPr>
        <w:t xml:space="preserve"> cam kết với Hội đồng nhân dân </w:t>
      </w:r>
      <w:r w:rsidR="00754665">
        <w:rPr>
          <w:lang w:val="nl-NL"/>
        </w:rPr>
        <w:t>huyện</w:t>
      </w:r>
      <w:r w:rsidRPr="008D4624">
        <w:rPr>
          <w:lang w:val="nl-NL"/>
        </w:rPr>
        <w:t xml:space="preserve"> và các vị đại biểu Hội đồng nhân dân </w:t>
      </w:r>
      <w:r w:rsidR="00754665">
        <w:rPr>
          <w:lang w:val="nl-NL"/>
        </w:rPr>
        <w:t>huyện</w:t>
      </w:r>
      <w:r w:rsidR="00E01E31" w:rsidRPr="008D4624">
        <w:rPr>
          <w:lang w:val="nl-NL"/>
        </w:rPr>
        <w:t xml:space="preserve">, </w:t>
      </w:r>
      <w:r w:rsidRPr="008D4624">
        <w:rPr>
          <w:lang w:val="nl-NL"/>
        </w:rPr>
        <w:t xml:space="preserve">tạo chuyển biến </w:t>
      </w:r>
      <w:r w:rsidR="003117DA" w:rsidRPr="008D4624">
        <w:rPr>
          <w:lang w:val="nl-NL"/>
        </w:rPr>
        <w:t>thật sự, rõ rệt</w:t>
      </w:r>
      <w:r w:rsidRPr="008D4624">
        <w:rPr>
          <w:lang w:val="nl-NL"/>
        </w:rPr>
        <w:t xml:space="preserve"> trong công tác quản lý nhà nước trên các lĩnh vực được chất vấn, trong đó lưu ý triển khai thực hiện một số nhiệm vụ trọng tâm sau đây: </w:t>
      </w:r>
    </w:p>
    <w:p w14:paraId="0FDD55E9" w14:textId="77777777" w:rsidR="000C334A" w:rsidRDefault="00F7440C" w:rsidP="00DD7230">
      <w:pPr>
        <w:spacing w:before="120" w:after="0" w:line="240" w:lineRule="auto"/>
        <w:ind w:firstLine="720"/>
        <w:jc w:val="both"/>
        <w:rPr>
          <w:b/>
          <w:lang w:val="nl-NL"/>
        </w:rPr>
      </w:pPr>
      <w:r w:rsidRPr="008D4624">
        <w:rPr>
          <w:b/>
          <w:lang w:val="nl-NL"/>
        </w:rPr>
        <w:lastRenderedPageBreak/>
        <w:t>1.</w:t>
      </w:r>
      <w:r w:rsidR="00360B66" w:rsidRPr="008D4624">
        <w:rPr>
          <w:b/>
          <w:lang w:val="nl-NL"/>
        </w:rPr>
        <w:t xml:space="preserve"> </w:t>
      </w:r>
      <w:r w:rsidR="00DE70A0">
        <w:rPr>
          <w:b/>
          <w:lang w:val="nl-NL"/>
        </w:rPr>
        <w:t>Về T</w:t>
      </w:r>
      <w:r w:rsidR="00DE70A0" w:rsidRPr="00DE70A0">
        <w:rPr>
          <w:b/>
          <w:lang w:val="nl-NL"/>
        </w:rPr>
        <w:t>iến độ thực hiện các chương trình MTQG nhưng tỷ lệ giải ngân nguồn vốn các chương trình này đến nay vẫn còn thấp, chậm so với tiến độ, kế hoạch đề ra</w:t>
      </w:r>
      <w:r w:rsidR="000C334A">
        <w:rPr>
          <w:b/>
          <w:lang w:val="nl-NL"/>
        </w:rPr>
        <w:t xml:space="preserve">: </w:t>
      </w:r>
    </w:p>
    <w:p w14:paraId="3CDA3EDB" w14:textId="27A2BF80" w:rsidR="005F7AFC" w:rsidRDefault="000C334A" w:rsidP="00DD7230">
      <w:pPr>
        <w:spacing w:after="0" w:line="240" w:lineRule="auto"/>
        <w:ind w:firstLine="720"/>
        <w:jc w:val="both"/>
        <w:rPr>
          <w:rFonts w:eastAsia="Times New Roman"/>
          <w:color w:val="000000"/>
        </w:rPr>
      </w:pPr>
      <w:r>
        <w:rPr>
          <w:rFonts w:eastAsia="Times New Roman"/>
          <w:color w:val="000000"/>
        </w:rPr>
        <w:t xml:space="preserve">- </w:t>
      </w:r>
      <w:r w:rsidR="007E0C88">
        <w:rPr>
          <w:rFonts w:eastAsia="Times New Roman"/>
          <w:color w:val="000000"/>
        </w:rPr>
        <w:t>C</w:t>
      </w:r>
      <w:r w:rsidR="00B85BE5" w:rsidRPr="00B85BE5">
        <w:rPr>
          <w:rFonts w:eastAsia="Times New Roman"/>
          <w:color w:val="000000"/>
        </w:rPr>
        <w:t>hỉ đạo các đơn vị chủ quản của các Chương trình, các phòng ban chuyên môn theo chức năng thường xuyên kiểm tra, giám sát các đơn vị Chủ đầu tư kịp thời báo cáo các khó khăn vướng mắc để sớm tháo gỡ khó khăn, hướng dẫn kịp thời cho các đơn vị. Để hoàn thành mục tiêu giải ngân sớm và đạt tỷ lệ cao, đối với các dự án chương trình sau khi được bố trí vốn yêu cầu các đơn vị phải triển khai các thủ tục và hoàn thiện việc phê duyệt dự án và kế hoạch lựa chọn nhà thầu trước ngày 30/6/2025.</w:t>
      </w:r>
    </w:p>
    <w:p w14:paraId="7C72E8E3" w14:textId="57FB0B41" w:rsidR="000C334A" w:rsidRPr="000C334A" w:rsidRDefault="000C334A" w:rsidP="00DD7230">
      <w:pPr>
        <w:spacing w:after="0" w:line="240" w:lineRule="auto"/>
        <w:ind w:firstLine="720"/>
        <w:jc w:val="both"/>
        <w:rPr>
          <w:b/>
          <w:lang w:val="nl-NL"/>
        </w:rPr>
      </w:pPr>
      <w:r>
        <w:rPr>
          <w:rFonts w:eastAsia="Times New Roman"/>
          <w:color w:val="000000"/>
        </w:rPr>
        <w:t xml:space="preserve">- </w:t>
      </w:r>
      <w:r w:rsidR="00DD7230">
        <w:rPr>
          <w:rFonts w:eastAsia="Times New Roman"/>
          <w:color w:val="000000"/>
        </w:rPr>
        <w:t xml:space="preserve">Chỉ đạo các Phòng ban, cơ quan, đơn vị, UBND các xã thị trấn </w:t>
      </w:r>
      <w:r w:rsidR="00DD7230" w:rsidRPr="00DD7230">
        <w:rPr>
          <w:rFonts w:eastAsia="Times New Roman"/>
          <w:color w:val="000000"/>
        </w:rPr>
        <w:t xml:space="preserve">bám sát các mục tiêu, căn cứ, nguyên tắc, yêu cầu, trình tự lập, thẩm định kế hoạch đầu tư công trung hạn và hằng năm </w:t>
      </w:r>
      <w:r w:rsidR="00DD7230">
        <w:rPr>
          <w:rFonts w:eastAsia="Times New Roman"/>
          <w:color w:val="000000"/>
        </w:rPr>
        <w:t>theo</w:t>
      </w:r>
      <w:r w:rsidR="009A111E">
        <w:rPr>
          <w:rFonts w:eastAsia="Times New Roman"/>
          <w:color w:val="000000"/>
        </w:rPr>
        <w:t xml:space="preserve"> </w:t>
      </w:r>
      <w:r w:rsidR="00DD7230" w:rsidRPr="00DD7230">
        <w:rPr>
          <w:rFonts w:eastAsia="Times New Roman"/>
          <w:color w:val="000000"/>
        </w:rPr>
        <w:t>quy định tại Luật Đầu tư công. Việc phân bổ vốn đầu tư công phải tuân thủ nguyên tắc, tiêu chí, định mức phân bổ vốn đầu tư công đã được cấp có thẩm quyền phê duyệt, phù hợp với mục tiêu phát triển kinh tế - xã hội</w:t>
      </w:r>
      <w:r w:rsidR="00DD7230">
        <w:rPr>
          <w:rFonts w:eastAsia="Times New Roman"/>
          <w:color w:val="000000"/>
        </w:rPr>
        <w:t xml:space="preserve"> của </w:t>
      </w:r>
      <w:r w:rsidR="00DD7230" w:rsidRPr="00DD7230">
        <w:rPr>
          <w:rFonts w:eastAsia="Times New Roman"/>
          <w:color w:val="000000"/>
        </w:rPr>
        <w:t>địa phương và các quy hoạch đã được phê duyệt</w:t>
      </w:r>
      <w:r w:rsidR="00DD7230">
        <w:rPr>
          <w:rFonts w:eastAsia="Times New Roman"/>
          <w:color w:val="000000"/>
        </w:rPr>
        <w:t>.</w:t>
      </w:r>
    </w:p>
    <w:p w14:paraId="77B5D5EF" w14:textId="2BFD396B" w:rsidR="00360B66" w:rsidRPr="008D4624" w:rsidRDefault="00DE70A0" w:rsidP="00DD7230">
      <w:pPr>
        <w:spacing w:before="120" w:after="0" w:line="240" w:lineRule="auto"/>
        <w:ind w:firstLine="720"/>
        <w:jc w:val="both"/>
        <w:rPr>
          <w:rStyle w:val="fontstyle01"/>
          <w:color w:val="auto"/>
          <w:lang w:val="nl-NL"/>
        </w:rPr>
      </w:pPr>
      <w:r>
        <w:rPr>
          <w:b/>
          <w:lang w:val="nl-NL"/>
        </w:rPr>
        <w:t xml:space="preserve">2. </w:t>
      </w:r>
      <w:r w:rsidR="00360B66" w:rsidRPr="008D4624">
        <w:rPr>
          <w:b/>
          <w:lang w:val="nl-NL"/>
        </w:rPr>
        <w:t xml:space="preserve">Đối với </w:t>
      </w:r>
      <w:r w:rsidR="002D57EA">
        <w:rPr>
          <w:b/>
          <w:lang w:val="nl-NL"/>
        </w:rPr>
        <w:t>C</w:t>
      </w:r>
      <w:r w:rsidR="002D57EA" w:rsidRPr="002D57EA">
        <w:rPr>
          <w:b/>
          <w:lang w:val="de-DE"/>
        </w:rPr>
        <w:t>hương</w:t>
      </w:r>
      <w:r w:rsidR="002D57EA">
        <w:rPr>
          <w:b/>
          <w:lang w:val="de-DE"/>
        </w:rPr>
        <w:t xml:space="preserve"> </w:t>
      </w:r>
      <w:r w:rsidR="002D57EA" w:rsidRPr="002D57EA">
        <w:rPr>
          <w:b/>
          <w:lang w:val="de-DE"/>
        </w:rPr>
        <w:t>trình MTQG xây dựng NTM trên địa bàn huyện</w:t>
      </w:r>
    </w:p>
    <w:p w14:paraId="15DD2824" w14:textId="77777777" w:rsidR="00A82080" w:rsidRPr="008D4624" w:rsidRDefault="00A82080" w:rsidP="00DD7230">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720"/>
        <w:jc w:val="both"/>
        <w:rPr>
          <w:iCs/>
          <w:spacing w:val="-2"/>
          <w:lang w:val="nl-NL"/>
        </w:rPr>
      </w:pPr>
      <w:r w:rsidRPr="008D4624">
        <w:rPr>
          <w:iCs/>
          <w:spacing w:val="-2"/>
          <w:lang w:val="nl-NL"/>
        </w:rPr>
        <w:t xml:space="preserve">- </w:t>
      </w:r>
      <w:r w:rsidR="00E01E31" w:rsidRPr="008D4624">
        <w:rPr>
          <w:iCs/>
          <w:spacing w:val="-2"/>
          <w:lang w:val="nl-NL"/>
        </w:rPr>
        <w:t>Tiếp tục r</w:t>
      </w:r>
      <w:r w:rsidRPr="008D4624">
        <w:rPr>
          <w:iCs/>
          <w:spacing w:val="-2"/>
          <w:lang w:val="nl-NL"/>
        </w:rPr>
        <w:t xml:space="preserve">à soát, đánh giá thực trạng của từng tiêu chí để có kế hoạch và giải pháp </w:t>
      </w:r>
      <w:r w:rsidR="00503172" w:rsidRPr="008D4624">
        <w:rPr>
          <w:iCs/>
          <w:spacing w:val="-2"/>
          <w:lang w:val="nl-NL"/>
        </w:rPr>
        <w:t xml:space="preserve">về </w:t>
      </w:r>
      <w:r w:rsidR="00503172" w:rsidRPr="008D4624">
        <w:rPr>
          <w:iCs/>
          <w:spacing w:val="-4"/>
          <w:lang w:val="nl-NL"/>
        </w:rPr>
        <w:t xml:space="preserve">bố trí ngân sách địa phương, lồng ghép các nguồn lực từ các chương trình, dự án đang đầu tư trên địa bàn... để hỗ trợ, đầu tư </w:t>
      </w:r>
      <w:r w:rsidR="00CB4EDE">
        <w:rPr>
          <w:iCs/>
          <w:spacing w:val="-4"/>
          <w:lang w:val="nl-NL"/>
        </w:rPr>
        <w:t xml:space="preserve">cho </w:t>
      </w:r>
      <w:r w:rsidR="00503172" w:rsidRPr="008D4624">
        <w:rPr>
          <w:iCs/>
          <w:spacing w:val="-4"/>
          <w:lang w:val="nl-NL"/>
        </w:rPr>
        <w:t xml:space="preserve">các xã đạt chuẩn nông thôn mới </w:t>
      </w:r>
      <w:r w:rsidR="00CB4EDE">
        <w:rPr>
          <w:iCs/>
          <w:spacing w:val="-4"/>
          <w:lang w:val="nl-NL"/>
        </w:rPr>
        <w:t xml:space="preserve">tiếp tục </w:t>
      </w:r>
      <w:r w:rsidRPr="008D4624">
        <w:rPr>
          <w:iCs/>
          <w:spacing w:val="-2"/>
          <w:lang w:val="nl-NL"/>
        </w:rPr>
        <w:t>duy trì và nâng cao chất lượng các tiêu chí</w:t>
      </w:r>
      <w:r w:rsidR="00E01E31" w:rsidRPr="008D4624">
        <w:rPr>
          <w:iCs/>
          <w:spacing w:val="-2"/>
          <w:lang w:val="nl-NL"/>
        </w:rPr>
        <w:t xml:space="preserve"> đã đạt </w:t>
      </w:r>
      <w:r w:rsidR="00CB4EDE">
        <w:rPr>
          <w:iCs/>
          <w:spacing w:val="-2"/>
          <w:lang w:val="nl-NL"/>
        </w:rPr>
        <w:t>được</w:t>
      </w:r>
      <w:r w:rsidR="00B44F28" w:rsidRPr="008D4624">
        <w:rPr>
          <w:iCs/>
          <w:spacing w:val="-2"/>
          <w:lang w:val="nl-NL"/>
        </w:rPr>
        <w:t xml:space="preserve">. </w:t>
      </w:r>
      <w:r w:rsidR="00503172" w:rsidRPr="008D4624">
        <w:rPr>
          <w:iCs/>
          <w:spacing w:val="-2"/>
          <w:lang w:val="nl-NL"/>
        </w:rPr>
        <w:t xml:space="preserve">Đồng thời, </w:t>
      </w:r>
      <w:r w:rsidRPr="008D4624">
        <w:rPr>
          <w:iCs/>
          <w:spacing w:val="-2"/>
          <w:lang w:val="nl-NL"/>
        </w:rPr>
        <w:t xml:space="preserve">tập trung </w:t>
      </w:r>
      <w:r w:rsidR="00503172" w:rsidRPr="008D4624">
        <w:rPr>
          <w:iCs/>
          <w:spacing w:val="-2"/>
          <w:lang w:val="nl-NL"/>
        </w:rPr>
        <w:t xml:space="preserve">hoàn thành sớm các tiêu chí chưa đạt như tiêu chí </w:t>
      </w:r>
      <w:r w:rsidRPr="008D4624">
        <w:rPr>
          <w:iCs/>
          <w:spacing w:val="-2"/>
          <w:lang w:val="nl-NL"/>
        </w:rPr>
        <w:t>quy hoạch xã</w:t>
      </w:r>
      <w:r w:rsidR="00503172" w:rsidRPr="008D4624">
        <w:rPr>
          <w:iCs/>
          <w:spacing w:val="-2"/>
          <w:lang w:val="nl-NL"/>
        </w:rPr>
        <w:t>;</w:t>
      </w:r>
      <w:r w:rsidRPr="008D4624">
        <w:rPr>
          <w:iCs/>
          <w:spacing w:val="-2"/>
          <w:lang w:val="nl-NL"/>
        </w:rPr>
        <w:t xml:space="preserve"> xóa nhà tạm, nhà dột nát; kiện toàn đội ngũ cán bộ cơ sở đảm bảo đạt chuẩn về chuyên môn theo quy định.</w:t>
      </w:r>
      <w:r w:rsidR="00503172" w:rsidRPr="008D4624">
        <w:rPr>
          <w:iCs/>
          <w:spacing w:val="-2"/>
          <w:lang w:val="nl-NL"/>
        </w:rPr>
        <w:t>..</w:t>
      </w:r>
    </w:p>
    <w:p w14:paraId="6059995C" w14:textId="77777777" w:rsidR="00B44F28" w:rsidRPr="008D4624" w:rsidRDefault="00503172" w:rsidP="00DD7230">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720"/>
        <w:jc w:val="both"/>
        <w:rPr>
          <w:iCs/>
          <w:spacing w:val="-2"/>
          <w:lang w:val="nl-NL"/>
        </w:rPr>
      </w:pPr>
      <w:r w:rsidRPr="008D4624">
        <w:rPr>
          <w:iCs/>
          <w:spacing w:val="-4"/>
          <w:lang w:val="nl-NL"/>
        </w:rPr>
        <w:t xml:space="preserve">- </w:t>
      </w:r>
      <w:r w:rsidR="00A82080" w:rsidRPr="008D4624">
        <w:rPr>
          <w:iCs/>
          <w:spacing w:val="-2"/>
          <w:lang w:val="nl-NL"/>
        </w:rPr>
        <w:t>Tăng cường công tác kiểm tra, giám sát nhằm kịp thời phát hiện những hạn chế, khó khăn để có giải pháp tháo gỡ khó khăn, vướng mắc trong quá trình tổ chức thực hiện nhằm hoàn thành mục tiêu đề ra.</w:t>
      </w:r>
    </w:p>
    <w:p w14:paraId="1672D1F5" w14:textId="63019700" w:rsidR="007E0C88" w:rsidRDefault="00DE70A0" w:rsidP="00DD7230">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b/>
          <w:lang w:val="nl-NL"/>
        </w:rPr>
      </w:pPr>
      <w:r>
        <w:rPr>
          <w:b/>
          <w:lang w:val="nl-NL"/>
        </w:rPr>
        <w:t>3</w:t>
      </w:r>
      <w:r w:rsidR="00EF752D" w:rsidRPr="008D4624">
        <w:rPr>
          <w:b/>
          <w:lang w:val="nl-NL"/>
        </w:rPr>
        <w:t xml:space="preserve">. </w:t>
      </w:r>
      <w:r w:rsidR="00256049" w:rsidRPr="00256049">
        <w:rPr>
          <w:b/>
          <w:lang w:val="nl-NL"/>
        </w:rPr>
        <w:t xml:space="preserve">Giải pháp triển khai và thực hiện đối với các HTX trên địa bàn </w:t>
      </w:r>
      <w:r w:rsidR="000C334A">
        <w:rPr>
          <w:b/>
          <w:lang w:val="nl-NL"/>
        </w:rPr>
        <w:t xml:space="preserve">để </w:t>
      </w:r>
      <w:r w:rsidR="00256049" w:rsidRPr="00256049">
        <w:rPr>
          <w:b/>
          <w:lang w:val="nl-NL"/>
        </w:rPr>
        <w:t>hoạt động đảm bảo theo Luậ</w:t>
      </w:r>
      <w:r w:rsidR="00B85BE5">
        <w:rPr>
          <w:b/>
          <w:lang w:val="nl-NL"/>
        </w:rPr>
        <w:t xml:space="preserve">t HTX năm 2012: </w:t>
      </w:r>
    </w:p>
    <w:p w14:paraId="323C17AF" w14:textId="696BA55D" w:rsidR="00256049" w:rsidRDefault="007E0C88" w:rsidP="00DD7230">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720"/>
        <w:jc w:val="both"/>
      </w:pPr>
      <w:r>
        <w:rPr>
          <w:b/>
          <w:lang w:val="nl-NL"/>
        </w:rPr>
        <w:t xml:space="preserve">- </w:t>
      </w:r>
      <w:r w:rsidR="00B85BE5" w:rsidRPr="002B1028">
        <w:t xml:space="preserve">Tiếp tục rà soát, tổ chức kiện toàn, sắp xếp </w:t>
      </w:r>
      <w:r w:rsidR="00B85BE5">
        <w:t xml:space="preserve">lại hoặc tiến hành giải thể các </w:t>
      </w:r>
      <w:r w:rsidR="00B85BE5" w:rsidRPr="002B1028">
        <w:t>hợp tác xã hoạt động không hiệu quả, yếu kém,</w:t>
      </w:r>
      <w:r w:rsidR="00B85BE5">
        <w:t xml:space="preserve"> ngừng hoạt động hoặc hoạt động </w:t>
      </w:r>
      <w:r w:rsidR="00B85BE5" w:rsidRPr="002B1028">
        <w:t>không đúng Luật để nâng cao hiệu quả hoạt động</w:t>
      </w:r>
      <w:r w:rsidR="00B85BE5">
        <w:t xml:space="preserve"> của các hợp tác xã </w:t>
      </w:r>
      <w:r w:rsidR="007A58D9">
        <w:t xml:space="preserve">trên địa bàn huyện. </w:t>
      </w:r>
    </w:p>
    <w:p w14:paraId="61680C94" w14:textId="54EB928E" w:rsidR="007A58D9" w:rsidRPr="007A58D9" w:rsidRDefault="007A58D9" w:rsidP="00DD7230">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720"/>
        <w:jc w:val="both"/>
      </w:pPr>
      <w:r>
        <w:t>- Chủ trì phối hợp với các đơn vị có liên quan thường xuyên rà soát, kiểm tra tình hình hoạt động của các HTX trên địa bàn để kịp thời tháo gỡ khó khăn, vướng mắc; tạo điều kiện thuận lợi nhất để các HTX hoạt động ổn định, phát triển</w:t>
      </w:r>
      <w:r w:rsidR="009A111E">
        <w:t>.</w:t>
      </w:r>
    </w:p>
    <w:p w14:paraId="0588C135" w14:textId="74F94FE2" w:rsidR="00594BA8" w:rsidRDefault="00DE70A0" w:rsidP="00DD7230">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b/>
          <w:lang w:val="nl-NL"/>
        </w:rPr>
      </w:pPr>
      <w:r>
        <w:rPr>
          <w:b/>
          <w:bCs/>
          <w:lang w:val="nl-NL"/>
        </w:rPr>
        <w:t>4</w:t>
      </w:r>
      <w:r w:rsidR="00814C1C" w:rsidRPr="008D4624">
        <w:rPr>
          <w:b/>
          <w:bCs/>
          <w:lang w:val="nl-NL"/>
        </w:rPr>
        <w:t xml:space="preserve">. </w:t>
      </w:r>
      <w:r w:rsidR="00256049" w:rsidRPr="00256049">
        <w:rPr>
          <w:b/>
          <w:lang w:val="nl-NL"/>
        </w:rPr>
        <w:t>Khắc phục, sửa chữa tuyến đường DH83 từ thị trấn đi Đăk Nhoong, đoạn từ ngã ba đi Măng Rao đến cầu tràn qua thôn Pêng Sal</w:t>
      </w:r>
    </w:p>
    <w:p w14:paraId="43D8408A" w14:textId="4DB5C29F" w:rsidR="008051DE" w:rsidRPr="008D4624" w:rsidRDefault="008051DE" w:rsidP="00DD7230">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720"/>
        <w:jc w:val="both"/>
        <w:rPr>
          <w:bCs/>
          <w:lang w:val="nl-NL"/>
        </w:rPr>
      </w:pPr>
      <w:r w:rsidRPr="008D4624">
        <w:rPr>
          <w:bCs/>
          <w:lang w:val="nl-NL"/>
        </w:rPr>
        <w:t xml:space="preserve">- Tiếp tục theo dõi, đề nghị </w:t>
      </w:r>
      <w:r>
        <w:rPr>
          <w:bCs/>
          <w:lang w:val="nl-NL"/>
        </w:rPr>
        <w:t>UBND tỉnh</w:t>
      </w:r>
      <w:r w:rsidRPr="008D4624">
        <w:rPr>
          <w:bCs/>
          <w:lang w:val="nl-NL"/>
        </w:rPr>
        <w:t xml:space="preserve"> chấp thuận bổ sung dự án đầu tư nâng cấp các tuyến đường này </w:t>
      </w:r>
      <w:r w:rsidRPr="008D4624">
        <w:rPr>
          <w:bCs/>
          <w:i/>
          <w:lang w:val="nl-NL"/>
        </w:rPr>
        <w:t>(bao gồm cả đầu tư các cầu, cống trên tuyến đường)</w:t>
      </w:r>
      <w:r w:rsidRPr="008D4624">
        <w:rPr>
          <w:bCs/>
          <w:lang w:val="nl-NL"/>
        </w:rPr>
        <w:t xml:space="preserve"> vào kế hoạch đầu tư công trung hạn của </w:t>
      </w:r>
      <w:r>
        <w:rPr>
          <w:bCs/>
          <w:lang w:val="nl-NL"/>
        </w:rPr>
        <w:t>huyện</w:t>
      </w:r>
      <w:r w:rsidRPr="008D4624">
        <w:rPr>
          <w:bCs/>
          <w:lang w:val="nl-NL"/>
        </w:rPr>
        <w:t xml:space="preserve"> giai đoạn 2026-2030 để có nguồn vốn triển khai thực hiện. </w:t>
      </w:r>
    </w:p>
    <w:p w14:paraId="5A30CCFE" w14:textId="68D4E395" w:rsidR="008051DE" w:rsidRPr="008D4624" w:rsidRDefault="008051DE" w:rsidP="00DD7230">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720"/>
        <w:jc w:val="both"/>
        <w:rPr>
          <w:lang w:val="nl-NL"/>
        </w:rPr>
      </w:pPr>
      <w:r w:rsidRPr="008D4624">
        <w:rPr>
          <w:lang w:val="nl-NL"/>
        </w:rPr>
        <w:t>- Trước mắt, trong năm 2025</w:t>
      </w:r>
      <w:r>
        <w:rPr>
          <w:lang w:val="nl-NL"/>
        </w:rPr>
        <w:t>,</w:t>
      </w:r>
      <w:r w:rsidRPr="008D4624">
        <w:rPr>
          <w:lang w:val="nl-NL"/>
        </w:rPr>
        <w:t xml:space="preserve"> bố trí kinh phí duy tu, sửa chữa</w:t>
      </w:r>
      <w:r>
        <w:rPr>
          <w:lang w:val="nl-NL"/>
        </w:rPr>
        <w:t xml:space="preserve"> </w:t>
      </w:r>
      <w:r w:rsidRPr="008D4624">
        <w:rPr>
          <w:lang w:val="nl-NL"/>
        </w:rPr>
        <w:t>tuyến đường này nhằm phục vụ cho việc đi lại và vận chuyển hàng hoá c</w:t>
      </w:r>
      <w:r>
        <w:rPr>
          <w:lang w:val="nl-NL"/>
        </w:rPr>
        <w:t>ủa</w:t>
      </w:r>
      <w:r w:rsidRPr="008D4624">
        <w:rPr>
          <w:lang w:val="nl-NL"/>
        </w:rPr>
        <w:t xml:space="preserve"> Nhân dân.</w:t>
      </w:r>
    </w:p>
    <w:p w14:paraId="36019743" w14:textId="77777777" w:rsidR="00274AD1" w:rsidRDefault="00DE70A0" w:rsidP="00DD7230">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b/>
          <w:lang w:val="nl-NL"/>
        </w:rPr>
      </w:pPr>
      <w:r>
        <w:rPr>
          <w:b/>
          <w:bCs/>
          <w:spacing w:val="3"/>
          <w:shd w:val="clear" w:color="auto" w:fill="FFFFFF"/>
          <w:lang w:val="nl-NL"/>
        </w:rPr>
        <w:lastRenderedPageBreak/>
        <w:t>5</w:t>
      </w:r>
      <w:r w:rsidR="00084AA0" w:rsidRPr="008D4624">
        <w:rPr>
          <w:b/>
          <w:bCs/>
          <w:spacing w:val="3"/>
          <w:shd w:val="clear" w:color="auto" w:fill="FFFFFF"/>
          <w:lang w:val="nl-NL"/>
        </w:rPr>
        <w:t xml:space="preserve">. </w:t>
      </w:r>
      <w:r w:rsidR="00084AA0" w:rsidRPr="008D4624">
        <w:rPr>
          <w:b/>
          <w:bCs/>
          <w:lang w:val="nl-NL"/>
        </w:rPr>
        <w:t xml:space="preserve">Về </w:t>
      </w:r>
      <w:r w:rsidRPr="00DE70A0">
        <w:rPr>
          <w:b/>
          <w:lang w:val="nl-NL"/>
        </w:rPr>
        <w:t>Tiến độ triển khai thực hiện quy hoạch và xây dựng Nghĩa trang nhân dân khu trung tâm huyện</w:t>
      </w:r>
    </w:p>
    <w:p w14:paraId="5B569D32" w14:textId="77777777" w:rsidR="00274AD1" w:rsidRDefault="00274AD1" w:rsidP="00DD7230">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720"/>
        <w:jc w:val="both"/>
        <w:rPr>
          <w:bCs/>
        </w:rPr>
      </w:pPr>
      <w:r>
        <w:rPr>
          <w:b/>
          <w:lang w:val="nl-NL"/>
        </w:rPr>
        <w:t xml:space="preserve">- </w:t>
      </w:r>
      <w:r>
        <w:rPr>
          <w:bCs/>
        </w:rPr>
        <w:t xml:space="preserve">Có Kế hoạch bố trí một phần kinh phí để thực hiện công tác cắm mốc giới quy hoạch và thực hiện công tác bồi thường giải phóng mặt bằng khu vực quy hoạch nghĩa trân nhân dân khu trung tâm huyện theo quy định. </w:t>
      </w:r>
    </w:p>
    <w:p w14:paraId="5AD9B708" w14:textId="7E8BFC2F" w:rsidR="00274AD1" w:rsidRDefault="00274AD1" w:rsidP="00DD7230">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720"/>
        <w:jc w:val="both"/>
        <w:rPr>
          <w:bCs/>
          <w:lang w:val="vi-VN"/>
        </w:rPr>
      </w:pPr>
      <w:r>
        <w:rPr>
          <w:bCs/>
        </w:rPr>
        <w:t xml:space="preserve">- Chỉ đạo </w:t>
      </w:r>
      <w:r>
        <w:rPr>
          <w:bCs/>
          <w:lang w:val="vi-VN"/>
        </w:rPr>
        <w:t>UBND thị trấn tổ chức quản lý hiện trạng cây cối hoa màu, ranh giới quy hoạch nghĩa trang nhân dân khu trung tâm huyện.</w:t>
      </w:r>
    </w:p>
    <w:p w14:paraId="088CDC71" w14:textId="77777777" w:rsidR="004A49D7" w:rsidRDefault="008051DE" w:rsidP="00DD7230">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b/>
          <w:lang w:val="nl-NL"/>
        </w:rPr>
      </w:pPr>
      <w:r>
        <w:rPr>
          <w:b/>
          <w:lang w:val="nl-NL"/>
        </w:rPr>
        <w:t>6</w:t>
      </w:r>
      <w:r w:rsidR="00BC4DEE" w:rsidRPr="008D4624">
        <w:rPr>
          <w:b/>
          <w:lang w:val="nl-NL"/>
        </w:rPr>
        <w:t xml:space="preserve">. </w:t>
      </w:r>
      <w:r w:rsidR="00A27242" w:rsidRPr="008D4624">
        <w:rPr>
          <w:b/>
          <w:lang w:val="nl-NL"/>
        </w:rPr>
        <w:t xml:space="preserve">Về </w:t>
      </w:r>
      <w:r w:rsidRPr="008051DE">
        <w:rPr>
          <w:b/>
          <w:lang w:val="nl-NL"/>
        </w:rPr>
        <w:t>một số vị trí đất đai, tài sản công hiện không còn sử dụng, bỏ hoang nhiều năm gây lãng phí nhưng chưa có biện pháp xử lý dứt điể</w:t>
      </w:r>
      <w:r w:rsidR="007E0C88">
        <w:rPr>
          <w:b/>
          <w:lang w:val="nl-NL"/>
        </w:rPr>
        <w:t xml:space="preserve">m: </w:t>
      </w:r>
    </w:p>
    <w:p w14:paraId="0D42E20B" w14:textId="16C8358A" w:rsidR="007E0C88" w:rsidRPr="00C37441" w:rsidRDefault="004A49D7" w:rsidP="00C37441">
      <w:pPr>
        <w:ind w:firstLine="720"/>
        <w:jc w:val="both"/>
        <w:rPr>
          <w:rFonts w:eastAsia="Times New Roman"/>
        </w:rPr>
      </w:pPr>
      <w:r>
        <w:rPr>
          <w:b/>
          <w:lang w:val="nl-NL"/>
        </w:rPr>
        <w:t xml:space="preserve">- </w:t>
      </w:r>
      <w:r w:rsidR="0097275C" w:rsidRPr="007E0C88">
        <w:rPr>
          <w:lang w:val="nl-NL"/>
        </w:rPr>
        <w:t>Chỉ đạo các cơ quan, đơn vị, UBND các xã, thị trấn thực hiện nghiêm túc các quy định pháp luật về quản lý, sử dụng tài sản công. Trên cơ sở đó tăng cường kiểm tra, rà soát đối với công tác xử lý, sắp xếp lại các tài sản công là cơ sở nhà, đất, công trình và tài sản khác gắn liền với đất không có nhu cầu sử dụng.</w:t>
      </w:r>
      <w:r w:rsidR="00C37441" w:rsidRPr="00C37441">
        <w:rPr>
          <w:rFonts w:eastAsia="Calibri"/>
          <w:b/>
          <w:bCs/>
        </w:rPr>
        <w:t xml:space="preserve"> </w:t>
      </w:r>
      <w:r w:rsidR="00C37441" w:rsidRPr="00C37441">
        <w:rPr>
          <w:rFonts w:eastAsia="Times New Roman"/>
        </w:rPr>
        <w:t>Đề xuất phương án trưng dụng cho mục đích khác phù hợp, không để lãng phí.</w:t>
      </w:r>
    </w:p>
    <w:p w14:paraId="56BC323C" w14:textId="5343C92C" w:rsidR="00C37441" w:rsidRPr="00C37441" w:rsidRDefault="004A49D7" w:rsidP="00C37441">
      <w:pPr>
        <w:spacing w:before="60" w:after="60"/>
        <w:ind w:firstLine="720"/>
        <w:jc w:val="both"/>
        <w:rPr>
          <w:rFonts w:eastAsia="Times New Roman"/>
          <w:iCs/>
        </w:rPr>
      </w:pPr>
      <w:r>
        <w:rPr>
          <w:lang w:val="nl-NL"/>
        </w:rPr>
        <w:t xml:space="preserve"> </w:t>
      </w:r>
      <w:r w:rsidR="00C37441" w:rsidRPr="00C37441">
        <w:rPr>
          <w:rFonts w:eastAsia="Times New Roman"/>
          <w:shd w:val="clear" w:color="auto" w:fill="FFFFFF"/>
        </w:rPr>
        <w:t xml:space="preserve">- Chủ trì phối hợp với </w:t>
      </w:r>
      <w:r w:rsidR="00C37441" w:rsidRPr="00C37441">
        <w:rPr>
          <w:rFonts w:eastAsia="Times New Roman"/>
          <w:lang w:val="vi-VN"/>
        </w:rPr>
        <w:t xml:space="preserve">các </w:t>
      </w:r>
      <w:r w:rsidR="00C37441" w:rsidRPr="00C37441">
        <w:rPr>
          <w:rFonts w:eastAsia="Times New Roman"/>
        </w:rPr>
        <w:t>c</w:t>
      </w:r>
      <w:r w:rsidR="00C37441" w:rsidRPr="00C37441">
        <w:rPr>
          <w:rFonts w:eastAsia="Times New Roman"/>
          <w:shd w:val="clear" w:color="auto" w:fill="FFFFFF"/>
        </w:rPr>
        <w:t xml:space="preserve">ơ quan, đơn vị, Ủy ban nhân dân các xã, thị trấn </w:t>
      </w:r>
      <w:r w:rsidR="00C37441" w:rsidRPr="00C37441">
        <w:rPr>
          <w:rFonts w:eastAsia="Times New Roman"/>
        </w:rPr>
        <w:t>tiếp tục rà soát các cơ sở nhà, đất thuộc phạm vi quản lý nhưng chưa lập phương án sắp xếp hoặc cần có sự điều chỉnh so với phương án đã được cấp thẩm quyền phê duyệt</w:t>
      </w:r>
      <w:r w:rsidR="00C37441" w:rsidRPr="00C37441">
        <w:rPr>
          <w:rFonts w:eastAsia="Times New Roman"/>
          <w:vertAlign w:val="superscript"/>
        </w:rPr>
        <w:footnoteReference w:id="2"/>
      </w:r>
      <w:r w:rsidR="00C37441" w:rsidRPr="00C37441">
        <w:rPr>
          <w:rFonts w:eastAsia="Times New Roman"/>
        </w:rPr>
        <w:t xml:space="preserve">, trên cơ sở đó </w:t>
      </w:r>
      <w:r w:rsidR="00C37441" w:rsidRPr="00C37441">
        <w:rPr>
          <w:rFonts w:eastAsia="Times New Roman"/>
          <w:shd w:val="clear" w:color="auto" w:fill="FFFFFF"/>
        </w:rPr>
        <w:t>lập Phương án sắp xếp lại, xử lý nhà đất đối với các cơ sở nhà, đất theo đúng quy định pháp luật</w:t>
      </w:r>
      <w:r w:rsidR="00C37441" w:rsidRPr="00C37441">
        <w:rPr>
          <w:rFonts w:eastAsia="Times New Roman"/>
        </w:rPr>
        <w:t xml:space="preserve">, </w:t>
      </w:r>
      <w:r w:rsidR="00C37441" w:rsidRPr="00C37441">
        <w:rPr>
          <w:rFonts w:eastAsia="Times New Roman"/>
          <w:iCs/>
        </w:rPr>
        <w:t>chỉ đạo rà soát nhu cầu tiếp nhận để đề xuất phương án xử lý đối với các điểm trường không còn sử dụng theo quy định tại Điều 7 của Nghị định số 167/2017/NĐ-CP ngày 31/12/2017 của Chính phủ quy định việc sắp xếp lại, xử lý tài sản công.</w:t>
      </w:r>
    </w:p>
    <w:p w14:paraId="54DEB122" w14:textId="0CE010B4" w:rsidR="004A49D7" w:rsidRDefault="004A49D7" w:rsidP="00C37441">
      <w:pPr>
        <w:ind w:firstLine="720"/>
        <w:jc w:val="both"/>
        <w:rPr>
          <w:rFonts w:eastAsia="Times New Roman"/>
          <w:sz w:val="24"/>
          <w:szCs w:val="24"/>
        </w:rPr>
      </w:pPr>
      <w:r>
        <w:rPr>
          <w:lang w:val="nl-NL"/>
        </w:rPr>
        <w:t xml:space="preserve">- </w:t>
      </w:r>
      <w:r>
        <w:rPr>
          <w:rFonts w:eastAsia="Times New Roman"/>
          <w:shd w:val="clear" w:color="auto" w:fill="FFFFFF"/>
        </w:rPr>
        <w:t>C</w:t>
      </w:r>
      <w:r w:rsidRPr="004A49D7">
        <w:rPr>
          <w:rFonts w:eastAsia="Times New Roman"/>
          <w:shd w:val="clear" w:color="auto" w:fill="FFFFFF"/>
        </w:rPr>
        <w:t xml:space="preserve">hủ trì phối hợp với </w:t>
      </w:r>
      <w:r w:rsidRPr="004A49D7">
        <w:rPr>
          <w:rFonts w:eastAsia="Times New Roman"/>
          <w:lang w:val="vi-VN"/>
        </w:rPr>
        <w:t xml:space="preserve">các </w:t>
      </w:r>
      <w:r w:rsidRPr="004A49D7">
        <w:rPr>
          <w:rFonts w:eastAsia="Times New Roman"/>
        </w:rPr>
        <w:t>c</w:t>
      </w:r>
      <w:r w:rsidRPr="004A49D7">
        <w:rPr>
          <w:rFonts w:eastAsia="Times New Roman"/>
          <w:shd w:val="clear" w:color="auto" w:fill="FFFFFF"/>
        </w:rPr>
        <w:t xml:space="preserve">ơ quan, đơn vị, Ủy ban nhân dân các xã, thị trấn </w:t>
      </w:r>
      <w:r w:rsidRPr="004A49D7">
        <w:rPr>
          <w:rFonts w:eastAsia="Times New Roman"/>
        </w:rPr>
        <w:t>tiếp tục rà soát các cơ sở nhà, đất thuộc phạm vi quản lý nhưng chưa lập phương án sắp xếp hoặc cần có sự điều chỉnh so với phương án đã được cấp thẩm quyền phê duyệt</w:t>
      </w:r>
      <w:r w:rsidRPr="004A49D7">
        <w:rPr>
          <w:rFonts w:eastAsia="Times New Roman"/>
          <w:vertAlign w:val="superscript"/>
        </w:rPr>
        <w:footnoteReference w:id="3"/>
      </w:r>
      <w:r w:rsidRPr="004A49D7">
        <w:rPr>
          <w:rFonts w:eastAsia="Times New Roman"/>
        </w:rPr>
        <w:t xml:space="preserve">, trên cơ sở đó </w:t>
      </w:r>
      <w:r w:rsidRPr="004A49D7">
        <w:rPr>
          <w:rFonts w:eastAsia="Times New Roman"/>
          <w:shd w:val="clear" w:color="auto" w:fill="FFFFFF"/>
        </w:rPr>
        <w:t>lập Phương án sắp xếp lại, xử lý nhà đất đối với các cơ sở nhà, đất theo đúng quy định pháp luật</w:t>
      </w:r>
      <w:r>
        <w:rPr>
          <w:rFonts w:eastAsia="Times New Roman"/>
          <w:sz w:val="24"/>
          <w:szCs w:val="24"/>
        </w:rPr>
        <w:t>.</w:t>
      </w:r>
    </w:p>
    <w:p w14:paraId="4F1F5347" w14:textId="027CB232" w:rsidR="00817599" w:rsidRPr="008D4624" w:rsidRDefault="00F7440C" w:rsidP="00DD7230">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b/>
          <w:lang w:val="pt-BR"/>
        </w:rPr>
      </w:pPr>
      <w:r w:rsidRPr="008D4624">
        <w:rPr>
          <w:b/>
          <w:lang w:val="pt-BR"/>
        </w:rPr>
        <w:t>Điều 3. Tổ chức thực hiện</w:t>
      </w:r>
    </w:p>
    <w:p w14:paraId="7FCAAB26" w14:textId="2BB5F023" w:rsidR="00817599" w:rsidRPr="008D4624" w:rsidRDefault="00F7440C" w:rsidP="00DD7230">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720"/>
        <w:jc w:val="both"/>
        <w:rPr>
          <w:lang w:val="pt-BR"/>
        </w:rPr>
      </w:pPr>
      <w:r w:rsidRPr="008D4624">
        <w:rPr>
          <w:lang w:val="pt-BR"/>
        </w:rPr>
        <w:t xml:space="preserve">1. Giao Ủy ban nhân dân </w:t>
      </w:r>
      <w:r w:rsidR="008051DE">
        <w:rPr>
          <w:lang w:val="pt-BR"/>
        </w:rPr>
        <w:t>huyện</w:t>
      </w:r>
      <w:r w:rsidRPr="008D4624">
        <w:rPr>
          <w:lang w:val="pt-BR"/>
        </w:rPr>
        <w:t xml:space="preserve"> chỉ đạo tổ chức thực hiện và báo cáo kết quả thực hiệ</w:t>
      </w:r>
      <w:r w:rsidR="00244E4E" w:rsidRPr="008D4624">
        <w:rPr>
          <w:lang w:val="pt-BR"/>
        </w:rPr>
        <w:t>n N</w:t>
      </w:r>
      <w:r w:rsidRPr="008D4624">
        <w:rPr>
          <w:lang w:val="pt-BR"/>
        </w:rPr>
        <w:t>ghị quyết này tại Kỳ họp thứ</w:t>
      </w:r>
      <w:r w:rsidR="00913314" w:rsidRPr="008D4624">
        <w:rPr>
          <w:lang w:val="pt-BR"/>
        </w:rPr>
        <w:t xml:space="preserve"> </w:t>
      </w:r>
      <w:r w:rsidR="00350E5E" w:rsidRPr="008D4624">
        <w:rPr>
          <w:lang w:val="pt-BR"/>
        </w:rPr>
        <w:t>9</w:t>
      </w:r>
      <w:r w:rsidRPr="008D4624">
        <w:rPr>
          <w:lang w:val="pt-BR"/>
        </w:rPr>
        <w:t xml:space="preserve"> Hội đồng nhân dân </w:t>
      </w:r>
      <w:r w:rsidR="00DB5F09">
        <w:rPr>
          <w:lang w:val="pt-BR"/>
        </w:rPr>
        <w:t>huyện</w:t>
      </w:r>
      <w:r w:rsidRPr="008D4624">
        <w:rPr>
          <w:lang w:val="pt-BR"/>
        </w:rPr>
        <w:t xml:space="preserve"> Khóa X</w:t>
      </w:r>
      <w:r w:rsidR="00DB5F09">
        <w:rPr>
          <w:lang w:val="pt-BR"/>
        </w:rPr>
        <w:t>V</w:t>
      </w:r>
      <w:r w:rsidR="00157FA1">
        <w:rPr>
          <w:lang w:val="pt-BR"/>
        </w:rPr>
        <w:t>, nhiệm kỳ 2021-2026</w:t>
      </w:r>
      <w:r w:rsidRPr="008D4624">
        <w:rPr>
          <w:lang w:val="pt-BR"/>
        </w:rPr>
        <w:t>.</w:t>
      </w:r>
    </w:p>
    <w:p w14:paraId="1D14C146" w14:textId="5688DEAF" w:rsidR="00817599" w:rsidRPr="008D4624" w:rsidRDefault="00F7440C" w:rsidP="00DD7230">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720"/>
        <w:jc w:val="both"/>
        <w:rPr>
          <w:lang w:val="pt-BR"/>
        </w:rPr>
      </w:pPr>
      <w:r w:rsidRPr="008D4624">
        <w:rPr>
          <w:lang w:val="pt-BR"/>
        </w:rPr>
        <w:t xml:space="preserve">2. Giao Thường trực Hội đồng nhân dân, các Ban của Hội đồng nhân dân, Tổ đại biểu Hội đồng nhân dân và đại biểu Hội đồng nhân dân </w:t>
      </w:r>
      <w:r w:rsidR="00DB5F09">
        <w:rPr>
          <w:lang w:val="pt-BR"/>
        </w:rPr>
        <w:t xml:space="preserve">huyện </w:t>
      </w:r>
      <w:r w:rsidRPr="008D4624">
        <w:rPr>
          <w:lang w:val="pt-BR"/>
        </w:rPr>
        <w:t xml:space="preserve">giám sát việc </w:t>
      </w:r>
      <w:r w:rsidR="003B2A47" w:rsidRPr="008D4624">
        <w:rPr>
          <w:lang w:val="pt-BR"/>
        </w:rPr>
        <w:t xml:space="preserve">triển khai </w:t>
      </w:r>
      <w:r w:rsidRPr="008D4624">
        <w:rPr>
          <w:lang w:val="pt-BR"/>
        </w:rPr>
        <w:t>thực hiện.</w:t>
      </w:r>
    </w:p>
    <w:p w14:paraId="404766A2" w14:textId="62DEBF34" w:rsidR="00817599" w:rsidRPr="008D4624" w:rsidRDefault="00F7440C" w:rsidP="00DD7230">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720"/>
        <w:jc w:val="both"/>
        <w:rPr>
          <w:lang w:val="pt-BR"/>
        </w:rPr>
      </w:pPr>
      <w:r w:rsidRPr="008D4624">
        <w:rPr>
          <w:lang w:val="pt-BR"/>
        </w:rPr>
        <w:t xml:space="preserve">3. Giao </w:t>
      </w:r>
      <w:r w:rsidR="003B2A47" w:rsidRPr="008D4624">
        <w:rPr>
          <w:lang w:val="pt-BR"/>
        </w:rPr>
        <w:t>các Ban</w:t>
      </w:r>
      <w:r w:rsidR="003B2A47" w:rsidRPr="008D4624" w:rsidDel="003B2A47">
        <w:rPr>
          <w:lang w:val="pt-BR"/>
        </w:rPr>
        <w:t xml:space="preserve"> </w:t>
      </w:r>
      <w:r w:rsidR="003B2A47" w:rsidRPr="008D4624">
        <w:rPr>
          <w:lang w:val="pt-BR"/>
        </w:rPr>
        <w:t xml:space="preserve">của </w:t>
      </w:r>
      <w:r w:rsidRPr="008D4624">
        <w:rPr>
          <w:lang w:val="pt-BR"/>
        </w:rPr>
        <w:t xml:space="preserve">Hội đồng nhân dân </w:t>
      </w:r>
      <w:r w:rsidR="00DB5F09">
        <w:rPr>
          <w:lang w:val="pt-BR"/>
        </w:rPr>
        <w:t>huyện</w:t>
      </w:r>
      <w:r w:rsidRPr="008D4624">
        <w:rPr>
          <w:lang w:val="pt-BR"/>
        </w:rPr>
        <w:t xml:space="preserve"> </w:t>
      </w:r>
      <w:r w:rsidR="003A2950" w:rsidRPr="008D4624">
        <w:rPr>
          <w:i/>
          <w:lang w:val="pt-BR"/>
        </w:rPr>
        <w:t xml:space="preserve">(theo lĩnh vực phụ trách) </w:t>
      </w:r>
      <w:r w:rsidR="003A2950" w:rsidRPr="008D4624">
        <w:rPr>
          <w:rFonts w:eastAsia="Times New Roman"/>
          <w:szCs w:val="24"/>
          <w:lang w:val="pt-BR"/>
        </w:rPr>
        <w:t xml:space="preserve">chủ động theo dõi, kịp thời đôn đốc cơ quan, người có thẩm quyền thực hiện Nghị </w:t>
      </w:r>
      <w:r w:rsidR="003A2950" w:rsidRPr="008D4624">
        <w:rPr>
          <w:rFonts w:eastAsia="Times New Roman"/>
          <w:szCs w:val="24"/>
          <w:lang w:val="pt-BR"/>
        </w:rPr>
        <w:lastRenderedPageBreak/>
        <w:t xml:space="preserve">quyết này và báo cáo kết quả việc thực hiện đến Thường trực Hội đồng nhân dân </w:t>
      </w:r>
      <w:r w:rsidR="00DB5F09">
        <w:rPr>
          <w:rFonts w:eastAsia="Times New Roman"/>
          <w:szCs w:val="24"/>
          <w:lang w:val="pt-BR"/>
        </w:rPr>
        <w:t>huyện</w:t>
      </w:r>
      <w:r w:rsidR="003A2950" w:rsidRPr="008D4624">
        <w:rPr>
          <w:rFonts w:eastAsia="Times New Roman"/>
          <w:szCs w:val="24"/>
          <w:lang w:val="pt-BR"/>
        </w:rPr>
        <w:t xml:space="preserve"> theo quy định</w:t>
      </w:r>
      <w:r w:rsidRPr="008D4624">
        <w:rPr>
          <w:lang w:val="pt-BR"/>
        </w:rPr>
        <w:t>.</w:t>
      </w:r>
    </w:p>
    <w:p w14:paraId="0E392447" w14:textId="7C530EBD" w:rsidR="000F69DB" w:rsidRPr="008D4624" w:rsidRDefault="00F7440C" w:rsidP="00DD7230">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720"/>
        <w:jc w:val="both"/>
        <w:rPr>
          <w:lang w:val="pt-BR"/>
        </w:rPr>
      </w:pPr>
      <w:r w:rsidRPr="008D4624">
        <w:rPr>
          <w:lang w:val="pt-BR"/>
        </w:rPr>
        <w:t xml:space="preserve">Nghị quyết này đã được Hội đồng nhân dân </w:t>
      </w:r>
      <w:r w:rsidR="00DB5F09">
        <w:rPr>
          <w:lang w:val="pt-BR"/>
        </w:rPr>
        <w:t>huyện Đăk Glei</w:t>
      </w:r>
      <w:r w:rsidRPr="008D4624">
        <w:rPr>
          <w:lang w:val="pt-BR"/>
        </w:rPr>
        <w:t xml:space="preserve"> Khóa X</w:t>
      </w:r>
      <w:r w:rsidR="00DB5F09">
        <w:rPr>
          <w:lang w:val="pt-BR"/>
        </w:rPr>
        <w:t>V</w:t>
      </w:r>
      <w:r w:rsidRPr="008D4624">
        <w:rPr>
          <w:lang w:val="pt-BR"/>
        </w:rPr>
        <w:t xml:space="preserve"> Kỳ họp thứ</w:t>
      </w:r>
      <w:r w:rsidR="00350E5E" w:rsidRPr="008D4624">
        <w:rPr>
          <w:lang w:val="pt-BR"/>
        </w:rPr>
        <w:t xml:space="preserve"> 8</w:t>
      </w:r>
      <w:r w:rsidRPr="008D4624">
        <w:rPr>
          <w:lang w:val="pt-BR"/>
        </w:rPr>
        <w:t xml:space="preserve"> thông qua ngày </w:t>
      </w:r>
      <w:r w:rsidR="00DB5F09">
        <w:rPr>
          <w:lang w:val="pt-BR"/>
        </w:rPr>
        <w:t>19</w:t>
      </w:r>
      <w:r w:rsidRPr="008D4624">
        <w:rPr>
          <w:lang w:val="pt-BR"/>
        </w:rPr>
        <w:t xml:space="preserve"> tháng </w:t>
      </w:r>
      <w:r w:rsidR="00350E5E" w:rsidRPr="008D4624">
        <w:rPr>
          <w:lang w:val="pt-BR"/>
        </w:rPr>
        <w:t>12</w:t>
      </w:r>
      <w:r w:rsidRPr="008D4624">
        <w:rPr>
          <w:lang w:val="pt-BR"/>
        </w:rPr>
        <w:t xml:space="preserve"> năm 2024./.</w:t>
      </w:r>
    </w:p>
    <w:tbl>
      <w:tblPr>
        <w:tblW w:w="0" w:type="auto"/>
        <w:tblLook w:val="04A0" w:firstRow="1" w:lastRow="0" w:firstColumn="1" w:lastColumn="0" w:noHBand="0" w:noVBand="1"/>
      </w:tblPr>
      <w:tblGrid>
        <w:gridCol w:w="5497"/>
        <w:gridCol w:w="3577"/>
      </w:tblGrid>
      <w:tr w:rsidR="008D4624" w:rsidRPr="008D4624" w14:paraId="5560EA6E" w14:textId="77777777" w:rsidTr="00C0684C">
        <w:tc>
          <w:tcPr>
            <w:tcW w:w="5637" w:type="dxa"/>
            <w:shd w:val="clear" w:color="auto" w:fill="auto"/>
          </w:tcPr>
          <w:p w14:paraId="41317FF3" w14:textId="77777777" w:rsidR="00F7440C" w:rsidRPr="008D4624" w:rsidRDefault="00F7440C" w:rsidP="00C0684C">
            <w:pPr>
              <w:spacing w:after="0" w:line="240" w:lineRule="auto"/>
              <w:rPr>
                <w:b/>
                <w:bCs/>
                <w:lang w:val="af-ZA"/>
              </w:rPr>
            </w:pPr>
            <w:r w:rsidRPr="008D4624">
              <w:rPr>
                <w:b/>
                <w:bCs/>
                <w:i/>
                <w:sz w:val="24"/>
                <w:szCs w:val="24"/>
                <w:lang w:val="af-ZA"/>
              </w:rPr>
              <w:t xml:space="preserve">Nơi nhận:                                                                               </w:t>
            </w:r>
            <w:r w:rsidRPr="008D4624">
              <w:rPr>
                <w:b/>
                <w:bCs/>
                <w:sz w:val="24"/>
                <w:szCs w:val="24"/>
                <w:lang w:val="af-ZA"/>
              </w:rPr>
              <w:t xml:space="preserve">            </w:t>
            </w:r>
          </w:p>
          <w:p w14:paraId="7F091222" w14:textId="5DAB323E" w:rsidR="00F7440C" w:rsidRPr="008D4624" w:rsidRDefault="00F7440C" w:rsidP="00C0684C">
            <w:pPr>
              <w:spacing w:after="0" w:line="240" w:lineRule="auto"/>
              <w:rPr>
                <w:sz w:val="22"/>
                <w:lang w:val="nl-NL"/>
              </w:rPr>
            </w:pPr>
            <w:r w:rsidRPr="008D4624">
              <w:rPr>
                <w:sz w:val="22"/>
                <w:lang w:val="nl-NL"/>
              </w:rPr>
              <w:t>- Thường trực HĐND tỉnh;</w:t>
            </w:r>
          </w:p>
          <w:p w14:paraId="1A099C7D" w14:textId="77777777" w:rsidR="00F7440C" w:rsidRPr="008D4624" w:rsidRDefault="00F7440C" w:rsidP="00C0684C">
            <w:pPr>
              <w:spacing w:after="0" w:line="240" w:lineRule="auto"/>
              <w:rPr>
                <w:sz w:val="22"/>
                <w:lang w:val="nl-NL"/>
              </w:rPr>
            </w:pPr>
            <w:r w:rsidRPr="008D4624">
              <w:rPr>
                <w:sz w:val="22"/>
                <w:lang w:val="nl-NL"/>
              </w:rPr>
              <w:t xml:space="preserve">- Ủy ban nhân dân tỉnh; </w:t>
            </w:r>
          </w:p>
          <w:p w14:paraId="0E1842F8" w14:textId="463AED37" w:rsidR="00F7440C" w:rsidRPr="008D4624" w:rsidRDefault="00F7440C" w:rsidP="00C0684C">
            <w:pPr>
              <w:spacing w:after="0" w:line="240" w:lineRule="auto"/>
              <w:rPr>
                <w:sz w:val="22"/>
                <w:lang w:val="nl-NL"/>
              </w:rPr>
            </w:pPr>
            <w:r w:rsidRPr="008D4624">
              <w:rPr>
                <w:sz w:val="22"/>
                <w:lang w:val="nl-NL"/>
              </w:rPr>
              <w:t xml:space="preserve">- Ủy ban Mặt trận Tổ quốc Việt Nam </w:t>
            </w:r>
            <w:r w:rsidR="00DB5F09">
              <w:rPr>
                <w:sz w:val="22"/>
                <w:lang w:val="nl-NL"/>
              </w:rPr>
              <w:t>huyện</w:t>
            </w:r>
            <w:r w:rsidRPr="008D4624">
              <w:rPr>
                <w:sz w:val="22"/>
                <w:lang w:val="nl-NL"/>
              </w:rPr>
              <w:t>;</w:t>
            </w:r>
          </w:p>
          <w:p w14:paraId="53CDCBE1" w14:textId="6DB83A6C" w:rsidR="00F7440C" w:rsidRPr="008D4624" w:rsidRDefault="00F7440C" w:rsidP="00C0684C">
            <w:pPr>
              <w:spacing w:after="0" w:line="240" w:lineRule="auto"/>
              <w:rPr>
                <w:sz w:val="22"/>
                <w:lang w:val="nl-NL"/>
              </w:rPr>
            </w:pPr>
            <w:r w:rsidRPr="008D4624">
              <w:rPr>
                <w:sz w:val="22"/>
                <w:lang w:val="nl-NL"/>
              </w:rPr>
              <w:t xml:space="preserve">- Các Ban </w:t>
            </w:r>
            <w:r w:rsidR="002941A0" w:rsidRPr="008D4624">
              <w:rPr>
                <w:sz w:val="22"/>
                <w:lang w:val="nl-NL"/>
              </w:rPr>
              <w:t xml:space="preserve">của </w:t>
            </w:r>
            <w:r w:rsidRPr="008D4624">
              <w:rPr>
                <w:sz w:val="22"/>
                <w:lang w:val="nl-NL"/>
              </w:rPr>
              <w:t xml:space="preserve">HĐND </w:t>
            </w:r>
            <w:r w:rsidR="00DB5F09">
              <w:rPr>
                <w:sz w:val="22"/>
                <w:lang w:val="nl-NL"/>
              </w:rPr>
              <w:t>huyện</w:t>
            </w:r>
            <w:r w:rsidRPr="008D4624">
              <w:rPr>
                <w:sz w:val="22"/>
                <w:lang w:val="nl-NL"/>
              </w:rPr>
              <w:t>;</w:t>
            </w:r>
          </w:p>
          <w:p w14:paraId="191361E3" w14:textId="0E8407B5" w:rsidR="002941A0" w:rsidRPr="008D4624" w:rsidRDefault="002941A0" w:rsidP="00C0684C">
            <w:pPr>
              <w:spacing w:after="0" w:line="240" w:lineRule="auto"/>
              <w:rPr>
                <w:sz w:val="22"/>
                <w:lang w:val="nl-NL"/>
              </w:rPr>
            </w:pPr>
            <w:r w:rsidRPr="008D4624">
              <w:rPr>
                <w:sz w:val="22"/>
                <w:lang w:val="nl-NL"/>
              </w:rPr>
              <w:t xml:space="preserve">- Đại biểu HĐND </w:t>
            </w:r>
            <w:r w:rsidR="00DB5F09">
              <w:rPr>
                <w:sz w:val="22"/>
                <w:lang w:val="nl-NL"/>
              </w:rPr>
              <w:t>huyện</w:t>
            </w:r>
            <w:r w:rsidR="00DB5F09" w:rsidRPr="008D4624">
              <w:rPr>
                <w:sz w:val="22"/>
                <w:lang w:val="nl-NL"/>
              </w:rPr>
              <w:t>;</w:t>
            </w:r>
          </w:p>
          <w:p w14:paraId="179F1191" w14:textId="3287B6DE" w:rsidR="00F7440C" w:rsidRPr="008D4624" w:rsidRDefault="00F7440C" w:rsidP="00C0684C">
            <w:pPr>
              <w:spacing w:after="0" w:line="240" w:lineRule="auto"/>
              <w:rPr>
                <w:sz w:val="22"/>
                <w:lang w:val="nl-NL"/>
              </w:rPr>
            </w:pPr>
            <w:r w:rsidRPr="008D4624">
              <w:rPr>
                <w:sz w:val="22"/>
                <w:lang w:val="nl-NL"/>
              </w:rPr>
              <w:t xml:space="preserve">- Văn phòng </w:t>
            </w:r>
            <w:r w:rsidR="00DB5F09">
              <w:rPr>
                <w:sz w:val="22"/>
                <w:lang w:val="nl-NL"/>
              </w:rPr>
              <w:t>Huyện</w:t>
            </w:r>
            <w:r w:rsidRPr="008D4624">
              <w:rPr>
                <w:sz w:val="22"/>
                <w:lang w:val="nl-NL"/>
              </w:rPr>
              <w:t xml:space="preserve"> ủy;</w:t>
            </w:r>
          </w:p>
          <w:p w14:paraId="1626F9C4" w14:textId="6976EB33" w:rsidR="00F7440C" w:rsidRPr="008D4624" w:rsidRDefault="002941A0" w:rsidP="00C0684C">
            <w:pPr>
              <w:spacing w:after="0" w:line="240" w:lineRule="auto"/>
              <w:rPr>
                <w:sz w:val="22"/>
                <w:lang w:val="nl-NL"/>
              </w:rPr>
            </w:pPr>
            <w:r w:rsidRPr="008D4624">
              <w:rPr>
                <w:sz w:val="22"/>
                <w:lang w:val="nl-NL"/>
              </w:rPr>
              <w:t xml:space="preserve">- Các </w:t>
            </w:r>
            <w:r w:rsidR="00DB5F09">
              <w:rPr>
                <w:sz w:val="22"/>
                <w:lang w:val="nl-NL"/>
              </w:rPr>
              <w:t>phòng</w:t>
            </w:r>
            <w:r w:rsidR="00F7440C" w:rsidRPr="008D4624">
              <w:rPr>
                <w:sz w:val="22"/>
                <w:lang w:val="nl-NL"/>
              </w:rPr>
              <w:t>, ban, ngành, đoàn thể c</w:t>
            </w:r>
            <w:r w:rsidRPr="008D4624">
              <w:rPr>
                <w:sz w:val="22"/>
                <w:lang w:val="nl-NL"/>
              </w:rPr>
              <w:t>ấp</w:t>
            </w:r>
            <w:r w:rsidR="00F7440C" w:rsidRPr="008D4624">
              <w:rPr>
                <w:sz w:val="22"/>
                <w:lang w:val="nl-NL"/>
              </w:rPr>
              <w:t xml:space="preserve"> </w:t>
            </w:r>
            <w:r w:rsidR="00DB5F09">
              <w:rPr>
                <w:sz w:val="22"/>
                <w:lang w:val="nl-NL"/>
              </w:rPr>
              <w:t>huyện</w:t>
            </w:r>
            <w:r w:rsidR="00F7440C" w:rsidRPr="008D4624">
              <w:rPr>
                <w:sz w:val="22"/>
                <w:lang w:val="nl-NL"/>
              </w:rPr>
              <w:t>;</w:t>
            </w:r>
          </w:p>
          <w:p w14:paraId="70489D68" w14:textId="798F19DE" w:rsidR="00F7440C" w:rsidRPr="008D4624" w:rsidRDefault="00F7440C" w:rsidP="00C0684C">
            <w:pPr>
              <w:spacing w:after="0" w:line="240" w:lineRule="auto"/>
              <w:rPr>
                <w:sz w:val="22"/>
                <w:lang w:val="nl-NL"/>
              </w:rPr>
            </w:pPr>
            <w:r w:rsidRPr="008D4624">
              <w:rPr>
                <w:sz w:val="22"/>
                <w:lang w:val="nl-NL"/>
              </w:rPr>
              <w:t xml:space="preserve">- Thường trực HĐND, UBND các </w:t>
            </w:r>
            <w:r w:rsidR="00DB5F09">
              <w:rPr>
                <w:sz w:val="22"/>
                <w:lang w:val="nl-NL"/>
              </w:rPr>
              <w:t>xã, thị trấn</w:t>
            </w:r>
            <w:r w:rsidRPr="008D4624">
              <w:rPr>
                <w:sz w:val="22"/>
                <w:lang w:val="nl-NL"/>
              </w:rPr>
              <w:t>;</w:t>
            </w:r>
          </w:p>
          <w:p w14:paraId="6A74ACCC" w14:textId="699DF07C" w:rsidR="00F7440C" w:rsidRPr="008D4624" w:rsidRDefault="00F7440C" w:rsidP="00C0684C">
            <w:pPr>
              <w:spacing w:after="0" w:line="240" w:lineRule="auto"/>
              <w:rPr>
                <w:sz w:val="22"/>
                <w:lang w:val="nl-NL"/>
              </w:rPr>
            </w:pPr>
            <w:r w:rsidRPr="008D4624">
              <w:rPr>
                <w:sz w:val="22"/>
                <w:lang w:val="nl-NL"/>
              </w:rPr>
              <w:t xml:space="preserve">- </w:t>
            </w:r>
            <w:r w:rsidR="00DB5F09">
              <w:rPr>
                <w:sz w:val="22"/>
                <w:lang w:val="nl-NL"/>
              </w:rPr>
              <w:t>Trang</w:t>
            </w:r>
            <w:r w:rsidRPr="008D4624">
              <w:rPr>
                <w:sz w:val="22"/>
                <w:lang w:val="nl-NL"/>
              </w:rPr>
              <w:t xml:space="preserve"> thông tin điện tử </w:t>
            </w:r>
            <w:r w:rsidR="00DB5F09">
              <w:rPr>
                <w:sz w:val="22"/>
                <w:lang w:val="nl-NL"/>
              </w:rPr>
              <w:t>huyện</w:t>
            </w:r>
            <w:r w:rsidRPr="008D4624">
              <w:rPr>
                <w:sz w:val="22"/>
                <w:lang w:val="nl-NL"/>
              </w:rPr>
              <w:t>;</w:t>
            </w:r>
          </w:p>
          <w:p w14:paraId="19160EC4" w14:textId="77777777" w:rsidR="00F7440C" w:rsidRPr="008D4624" w:rsidRDefault="00F7440C" w:rsidP="00C0684C">
            <w:pPr>
              <w:spacing w:after="0" w:line="240" w:lineRule="auto"/>
              <w:rPr>
                <w:bCs/>
              </w:rPr>
            </w:pPr>
            <w:r w:rsidRPr="008D4624">
              <w:rPr>
                <w:sz w:val="22"/>
                <w:lang w:val="nl-NL"/>
              </w:rPr>
              <w:t>- Lưu: VT, TH.</w:t>
            </w:r>
          </w:p>
        </w:tc>
        <w:tc>
          <w:tcPr>
            <w:tcW w:w="3651" w:type="dxa"/>
            <w:shd w:val="clear" w:color="auto" w:fill="auto"/>
          </w:tcPr>
          <w:p w14:paraId="7E4123F4" w14:textId="77777777" w:rsidR="00F7440C" w:rsidRPr="008D4624" w:rsidRDefault="00F7440C" w:rsidP="00C0684C">
            <w:pPr>
              <w:tabs>
                <w:tab w:val="left" w:leader="dot" w:pos="6210"/>
              </w:tabs>
              <w:spacing w:after="0"/>
              <w:jc w:val="center"/>
              <w:rPr>
                <w:b/>
                <w:bCs/>
                <w:lang w:val="af-ZA"/>
              </w:rPr>
            </w:pPr>
            <w:r w:rsidRPr="008D4624">
              <w:rPr>
                <w:b/>
                <w:bCs/>
                <w:lang w:val="af-ZA"/>
              </w:rPr>
              <w:t>CHỦ TỊCH</w:t>
            </w:r>
          </w:p>
          <w:p w14:paraId="240D5508" w14:textId="77777777" w:rsidR="00F7440C" w:rsidRPr="008D4624" w:rsidRDefault="00F7440C" w:rsidP="00C0684C">
            <w:pPr>
              <w:tabs>
                <w:tab w:val="left" w:leader="dot" w:pos="6210"/>
              </w:tabs>
              <w:spacing w:after="0"/>
              <w:jc w:val="center"/>
              <w:rPr>
                <w:b/>
                <w:bCs/>
                <w:lang w:val="af-ZA"/>
              </w:rPr>
            </w:pPr>
          </w:p>
          <w:p w14:paraId="2E83E475" w14:textId="77777777" w:rsidR="00F7440C" w:rsidRPr="008D4624" w:rsidRDefault="00F7440C" w:rsidP="00C0684C">
            <w:pPr>
              <w:tabs>
                <w:tab w:val="left" w:leader="dot" w:pos="6210"/>
              </w:tabs>
              <w:spacing w:after="0"/>
              <w:rPr>
                <w:b/>
                <w:bCs/>
                <w:lang w:val="af-ZA"/>
              </w:rPr>
            </w:pPr>
            <w:r w:rsidRPr="008D4624">
              <w:rPr>
                <w:b/>
                <w:bCs/>
                <w:lang w:val="af-ZA"/>
              </w:rPr>
              <w:t xml:space="preserve">       </w:t>
            </w:r>
          </w:p>
          <w:p w14:paraId="14E01A19" w14:textId="77777777" w:rsidR="00F7440C" w:rsidRPr="008D4624" w:rsidRDefault="00F7440C" w:rsidP="00C0684C">
            <w:pPr>
              <w:tabs>
                <w:tab w:val="left" w:leader="dot" w:pos="6210"/>
              </w:tabs>
              <w:spacing w:after="0"/>
              <w:jc w:val="center"/>
              <w:rPr>
                <w:bCs/>
                <w:lang w:val="nl-NL"/>
              </w:rPr>
            </w:pPr>
          </w:p>
          <w:p w14:paraId="7455F065" w14:textId="77777777" w:rsidR="00F7440C" w:rsidRPr="008D4624" w:rsidRDefault="00F7440C" w:rsidP="00C0684C">
            <w:pPr>
              <w:tabs>
                <w:tab w:val="left" w:leader="dot" w:pos="6210"/>
              </w:tabs>
              <w:spacing w:after="0"/>
              <w:jc w:val="center"/>
              <w:rPr>
                <w:bCs/>
                <w:lang w:val="nl-NL"/>
              </w:rPr>
            </w:pPr>
          </w:p>
          <w:p w14:paraId="1FF43F31" w14:textId="77777777" w:rsidR="00F7440C" w:rsidRPr="008D4624" w:rsidRDefault="00F7440C" w:rsidP="00C0684C">
            <w:pPr>
              <w:tabs>
                <w:tab w:val="left" w:leader="dot" w:pos="6210"/>
              </w:tabs>
              <w:spacing w:after="0"/>
              <w:jc w:val="center"/>
              <w:rPr>
                <w:bCs/>
                <w:lang w:val="nl-NL"/>
              </w:rPr>
            </w:pPr>
          </w:p>
          <w:p w14:paraId="7828EEDF" w14:textId="08CB77CB" w:rsidR="00F7440C" w:rsidRPr="008D4624" w:rsidRDefault="00DB5F09" w:rsidP="00C0684C">
            <w:pPr>
              <w:tabs>
                <w:tab w:val="left" w:leader="dot" w:pos="6210"/>
              </w:tabs>
              <w:spacing w:after="0"/>
              <w:jc w:val="center"/>
              <w:rPr>
                <w:b/>
                <w:bCs/>
                <w:lang w:val="nl-NL"/>
              </w:rPr>
            </w:pPr>
            <w:r>
              <w:rPr>
                <w:b/>
                <w:bCs/>
                <w:lang w:val="nl-NL"/>
              </w:rPr>
              <w:t>A Phương</w:t>
            </w:r>
          </w:p>
        </w:tc>
      </w:tr>
    </w:tbl>
    <w:p w14:paraId="020E5CE6" w14:textId="77777777" w:rsidR="00280CD6" w:rsidRPr="008D4624" w:rsidRDefault="00F7440C" w:rsidP="00BC4DEE">
      <w:r w:rsidRPr="008D4624">
        <w:t xml:space="preserve">       </w:t>
      </w:r>
    </w:p>
    <w:sectPr w:rsidR="00280CD6" w:rsidRPr="008D4624" w:rsidSect="005F5F3D">
      <w:headerReference w:type="default" r:id="rId7"/>
      <w:pgSz w:w="11909" w:h="16834" w:code="9"/>
      <w:pgMar w:top="1134" w:right="1134" w:bottom="1134" w:left="1701" w:header="22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8E80D" w14:textId="77777777" w:rsidR="00982B1D" w:rsidRDefault="00982B1D" w:rsidP="000B397E">
      <w:pPr>
        <w:spacing w:after="0" w:line="240" w:lineRule="auto"/>
      </w:pPr>
      <w:r>
        <w:separator/>
      </w:r>
    </w:p>
  </w:endnote>
  <w:endnote w:type="continuationSeparator" w:id="0">
    <w:p w14:paraId="524E35F0" w14:textId="77777777" w:rsidR="00982B1D" w:rsidRDefault="00982B1D" w:rsidP="000B3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10825" w14:textId="77777777" w:rsidR="00982B1D" w:rsidRDefault="00982B1D" w:rsidP="000B397E">
      <w:pPr>
        <w:spacing w:after="0" w:line="240" w:lineRule="auto"/>
      </w:pPr>
      <w:r>
        <w:separator/>
      </w:r>
    </w:p>
  </w:footnote>
  <w:footnote w:type="continuationSeparator" w:id="0">
    <w:p w14:paraId="516BE172" w14:textId="77777777" w:rsidR="00982B1D" w:rsidRDefault="00982B1D" w:rsidP="000B397E">
      <w:pPr>
        <w:spacing w:after="0" w:line="240" w:lineRule="auto"/>
      </w:pPr>
      <w:r>
        <w:continuationSeparator/>
      </w:r>
    </w:p>
  </w:footnote>
  <w:footnote w:id="1">
    <w:p w14:paraId="1A655C8F" w14:textId="51F69729" w:rsidR="00C0684C" w:rsidRPr="0062069B" w:rsidRDefault="00C0684C" w:rsidP="002941A0">
      <w:pPr>
        <w:spacing w:before="60" w:after="0" w:line="240" w:lineRule="auto"/>
        <w:ind w:firstLine="284"/>
        <w:jc w:val="both"/>
        <w:rPr>
          <w:sz w:val="20"/>
          <w:szCs w:val="20"/>
        </w:rPr>
      </w:pPr>
      <w:r w:rsidRPr="0062069B">
        <w:rPr>
          <w:sz w:val="20"/>
          <w:szCs w:val="20"/>
          <w:vertAlign w:val="superscript"/>
        </w:rPr>
        <w:t>(</w:t>
      </w:r>
      <w:r w:rsidRPr="0062069B">
        <w:rPr>
          <w:rStyle w:val="FootnoteReference"/>
          <w:sz w:val="20"/>
          <w:szCs w:val="20"/>
        </w:rPr>
        <w:footnoteRef/>
      </w:r>
      <w:r w:rsidRPr="0062069B">
        <w:rPr>
          <w:sz w:val="20"/>
          <w:szCs w:val="20"/>
          <w:vertAlign w:val="superscript"/>
        </w:rPr>
        <w:t>)</w:t>
      </w:r>
      <w:r w:rsidRPr="0062069B">
        <w:rPr>
          <w:sz w:val="20"/>
          <w:szCs w:val="20"/>
        </w:rPr>
        <w:t xml:space="preserve"> </w:t>
      </w:r>
      <w:r w:rsidR="0062069B" w:rsidRPr="0062069B">
        <w:rPr>
          <w:rFonts w:eastAsia="Times New Roman"/>
          <w:sz w:val="20"/>
          <w:szCs w:val="20"/>
          <w:bdr w:val="none" w:sz="0" w:space="0" w:color="auto" w:frame="1"/>
        </w:rPr>
        <w:t>Tiến độ thực hiện các chương trình MTQG nhưng tỷ lệ giải ngân nguồn vốn các chương trình này đến nay vẫn còn thấp,</w:t>
      </w:r>
      <w:r w:rsidR="0062069B" w:rsidRPr="0062069B">
        <w:rPr>
          <w:rFonts w:eastAsia="Times New Roman"/>
          <w:bCs/>
          <w:sz w:val="20"/>
          <w:szCs w:val="20"/>
          <w:bdr w:val="none" w:sz="0" w:space="0" w:color="auto" w:frame="1"/>
        </w:rPr>
        <w:t xml:space="preserve"> chậm so với tiến độ, kế hoạch đề ra</w:t>
      </w:r>
      <w:r w:rsidRPr="0062069B">
        <w:rPr>
          <w:sz w:val="20"/>
          <w:szCs w:val="20"/>
        </w:rPr>
        <w:t>.</w:t>
      </w:r>
      <w:r w:rsidR="002D57EA">
        <w:rPr>
          <w:sz w:val="20"/>
          <w:szCs w:val="20"/>
        </w:rPr>
        <w:t xml:space="preserve"> </w:t>
      </w:r>
      <w:r w:rsidR="0062069B">
        <w:rPr>
          <w:sz w:val="20"/>
          <w:szCs w:val="20"/>
        </w:rPr>
        <w:t>G</w:t>
      </w:r>
      <w:r w:rsidR="0062069B" w:rsidRPr="0062069B">
        <w:rPr>
          <w:sz w:val="20"/>
          <w:szCs w:val="20"/>
        </w:rPr>
        <w:t>iải pháp triển khai và thực hiện đối với các HTX trên địa bàn hoạt động đảm bảo theo Luật HTX năm 2012</w:t>
      </w:r>
      <w:r w:rsidR="002D57EA">
        <w:rPr>
          <w:sz w:val="20"/>
          <w:szCs w:val="20"/>
        </w:rPr>
        <w:t>.</w:t>
      </w:r>
      <w:r w:rsidR="0062069B" w:rsidRPr="0062069B">
        <w:rPr>
          <w:sz w:val="20"/>
          <w:szCs w:val="20"/>
        </w:rPr>
        <w:t xml:space="preserve"> </w:t>
      </w:r>
      <w:r w:rsidR="002D57EA">
        <w:rPr>
          <w:sz w:val="20"/>
          <w:szCs w:val="20"/>
        </w:rPr>
        <w:t>K</w:t>
      </w:r>
      <w:r w:rsidR="003905E5" w:rsidRPr="003905E5">
        <w:rPr>
          <w:sz w:val="20"/>
          <w:szCs w:val="20"/>
        </w:rPr>
        <w:t>hắc phục, sửa chữa tuyến đường DH83 từ thị trấn đi Đăk Nhoong, đoạn từ ngã ba đi Măng Rao đến cầu tràn qua thôn Pêng Sal.</w:t>
      </w:r>
      <w:r w:rsidR="002D57EA">
        <w:rPr>
          <w:sz w:val="20"/>
          <w:szCs w:val="20"/>
        </w:rPr>
        <w:t xml:space="preserve"> </w:t>
      </w:r>
      <w:r w:rsidR="003905E5">
        <w:rPr>
          <w:sz w:val="20"/>
          <w:szCs w:val="20"/>
        </w:rPr>
        <w:t>T</w:t>
      </w:r>
      <w:r w:rsidR="003905E5" w:rsidRPr="003905E5">
        <w:rPr>
          <w:sz w:val="20"/>
          <w:szCs w:val="20"/>
        </w:rPr>
        <w:t>iến độ triển khai thực hiện quy hoạch và xây dựng Nghĩa trang nhân dân khu trung tâm huyện</w:t>
      </w:r>
      <w:r w:rsidR="00DE70A0">
        <w:rPr>
          <w:sz w:val="20"/>
          <w:szCs w:val="20"/>
        </w:rPr>
        <w:t xml:space="preserve">. </w:t>
      </w:r>
      <w:r w:rsidR="00DE70A0" w:rsidRPr="00DE70A0">
        <w:rPr>
          <w:sz w:val="20"/>
          <w:szCs w:val="20"/>
        </w:rPr>
        <w:t>Hiện nay một số vị trí đất đai, tài sản công hiện không còn sử dụng, bỏ hoang nhiều năm gây lãng phí nhưng chưa có biện pháp xử lý dứt điểm</w:t>
      </w:r>
      <w:r w:rsidR="00DE70A0">
        <w:rPr>
          <w:sz w:val="20"/>
          <w:szCs w:val="20"/>
        </w:rPr>
        <w:t>.</w:t>
      </w:r>
    </w:p>
  </w:footnote>
  <w:footnote w:id="2">
    <w:p w14:paraId="0AED78E6" w14:textId="77777777" w:rsidR="00C37441" w:rsidRDefault="00C37441" w:rsidP="00C37441">
      <w:pPr>
        <w:pStyle w:val="FootnoteText"/>
      </w:pPr>
      <w:r>
        <w:rPr>
          <w:rStyle w:val="FootnoteReference"/>
        </w:rPr>
        <w:footnoteRef/>
      </w:r>
      <w:r>
        <w:t xml:space="preserve"> Quyết định số 73/QĐ-UBND ngày 06/02/2020 của Ủy ban nhân dân tỉnh Kon Tum về việc phê duyệt Phương án sắp xếp lại, xử lý nhà, đất của cơ quan tổ chức, đơn vị thuộc Ủy ban nhân dân huyện Đăk Glei.</w:t>
      </w:r>
    </w:p>
  </w:footnote>
  <w:footnote w:id="3">
    <w:p w14:paraId="33DD3A0E" w14:textId="77777777" w:rsidR="004A49D7" w:rsidRDefault="004A49D7" w:rsidP="004A49D7">
      <w:pPr>
        <w:pStyle w:val="FootnoteText"/>
      </w:pPr>
      <w:r>
        <w:rPr>
          <w:rStyle w:val="FootnoteReference"/>
        </w:rPr>
        <w:footnoteRef/>
      </w:r>
      <w:r>
        <w:t xml:space="preserve"> Quyết định số 73/QĐ-UBND ngày 06/02/2020 của Ủy ban nhân dân tỉnh Kon Tum về việc phê duyệt Phương án sắp xếp lại, xử lý nhà, đất của cơ quan tổ chức, đơn vị thuộc Ủy ban nhân dân huyện Đăk Glei.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7345499"/>
      <w:docPartObj>
        <w:docPartGallery w:val="Page Numbers (Top of Page)"/>
        <w:docPartUnique/>
      </w:docPartObj>
    </w:sdtPr>
    <w:sdtEndPr>
      <w:rPr>
        <w:noProof/>
      </w:rPr>
    </w:sdtEndPr>
    <w:sdtContent>
      <w:p w14:paraId="6268E364" w14:textId="31BEC70D" w:rsidR="00C0684C" w:rsidRDefault="00C0684C">
        <w:pPr>
          <w:pStyle w:val="Header"/>
          <w:jc w:val="center"/>
        </w:pPr>
        <w:r>
          <w:fldChar w:fldCharType="begin"/>
        </w:r>
        <w:r>
          <w:instrText xml:space="preserve"> PAGE   \* MERGEFORMAT </w:instrText>
        </w:r>
        <w:r>
          <w:fldChar w:fldCharType="separate"/>
        </w:r>
        <w:r w:rsidR="007A58D9">
          <w:rPr>
            <w:noProof/>
          </w:rPr>
          <w:t>3</w:t>
        </w:r>
        <w:r>
          <w:rPr>
            <w:noProof/>
          </w:rPr>
          <w:fldChar w:fldCharType="end"/>
        </w:r>
      </w:p>
    </w:sdtContent>
  </w:sdt>
  <w:p w14:paraId="6CE8678A" w14:textId="77777777" w:rsidR="00C0684C" w:rsidRDefault="00C068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40C"/>
    <w:rsid w:val="0000753B"/>
    <w:rsid w:val="00072969"/>
    <w:rsid w:val="00084AA0"/>
    <w:rsid w:val="000B2055"/>
    <w:rsid w:val="000B2EC1"/>
    <w:rsid w:val="000B397E"/>
    <w:rsid w:val="000C334A"/>
    <w:rsid w:val="000F0722"/>
    <w:rsid w:val="000F69DB"/>
    <w:rsid w:val="00131664"/>
    <w:rsid w:val="0013611F"/>
    <w:rsid w:val="00140710"/>
    <w:rsid w:val="00157FA1"/>
    <w:rsid w:val="00165FEC"/>
    <w:rsid w:val="00173463"/>
    <w:rsid w:val="001835B4"/>
    <w:rsid w:val="00184F33"/>
    <w:rsid w:val="001A670E"/>
    <w:rsid w:val="001E04D0"/>
    <w:rsid w:val="001F092B"/>
    <w:rsid w:val="00221713"/>
    <w:rsid w:val="00234651"/>
    <w:rsid w:val="00237B7D"/>
    <w:rsid w:val="00244E4E"/>
    <w:rsid w:val="00251157"/>
    <w:rsid w:val="00256049"/>
    <w:rsid w:val="00257CDD"/>
    <w:rsid w:val="00262E53"/>
    <w:rsid w:val="002676CA"/>
    <w:rsid w:val="00274AD1"/>
    <w:rsid w:val="00275C10"/>
    <w:rsid w:val="00280CD6"/>
    <w:rsid w:val="002941A0"/>
    <w:rsid w:val="002A00CD"/>
    <w:rsid w:val="002A4DD6"/>
    <w:rsid w:val="002C3A89"/>
    <w:rsid w:val="002C7170"/>
    <w:rsid w:val="002C7C0B"/>
    <w:rsid w:val="002D57EA"/>
    <w:rsid w:val="002F024B"/>
    <w:rsid w:val="002F530B"/>
    <w:rsid w:val="002F6DC8"/>
    <w:rsid w:val="003117DA"/>
    <w:rsid w:val="00330A45"/>
    <w:rsid w:val="00334FD0"/>
    <w:rsid w:val="0034581F"/>
    <w:rsid w:val="00350E5E"/>
    <w:rsid w:val="00360B66"/>
    <w:rsid w:val="00372A5A"/>
    <w:rsid w:val="00375C18"/>
    <w:rsid w:val="00377F44"/>
    <w:rsid w:val="0038230E"/>
    <w:rsid w:val="00386A11"/>
    <w:rsid w:val="003905E5"/>
    <w:rsid w:val="003A189B"/>
    <w:rsid w:val="003A1A1F"/>
    <w:rsid w:val="003A2950"/>
    <w:rsid w:val="003B2A47"/>
    <w:rsid w:val="003D0FBA"/>
    <w:rsid w:val="003D171D"/>
    <w:rsid w:val="003E6BF3"/>
    <w:rsid w:val="00445195"/>
    <w:rsid w:val="00445A91"/>
    <w:rsid w:val="00482ABF"/>
    <w:rsid w:val="004921F6"/>
    <w:rsid w:val="004A00BC"/>
    <w:rsid w:val="004A49D7"/>
    <w:rsid w:val="004C43C9"/>
    <w:rsid w:val="004D1EAD"/>
    <w:rsid w:val="004F5D57"/>
    <w:rsid w:val="00503172"/>
    <w:rsid w:val="00535D8C"/>
    <w:rsid w:val="00537701"/>
    <w:rsid w:val="00540E0D"/>
    <w:rsid w:val="00543A2E"/>
    <w:rsid w:val="00545538"/>
    <w:rsid w:val="005513F2"/>
    <w:rsid w:val="00554510"/>
    <w:rsid w:val="00594BA8"/>
    <w:rsid w:val="00595310"/>
    <w:rsid w:val="005A7BDA"/>
    <w:rsid w:val="005B30B3"/>
    <w:rsid w:val="005E1A0D"/>
    <w:rsid w:val="005E5BFE"/>
    <w:rsid w:val="005F1EBF"/>
    <w:rsid w:val="005F5F3D"/>
    <w:rsid w:val="005F7AFC"/>
    <w:rsid w:val="00601037"/>
    <w:rsid w:val="00602A95"/>
    <w:rsid w:val="0062069B"/>
    <w:rsid w:val="00620880"/>
    <w:rsid w:val="00631737"/>
    <w:rsid w:val="00637957"/>
    <w:rsid w:val="00640C46"/>
    <w:rsid w:val="00641664"/>
    <w:rsid w:val="00654BD9"/>
    <w:rsid w:val="0066041E"/>
    <w:rsid w:val="00664F9E"/>
    <w:rsid w:val="00684B5E"/>
    <w:rsid w:val="006860F7"/>
    <w:rsid w:val="006D4569"/>
    <w:rsid w:val="006D67F0"/>
    <w:rsid w:val="006F1215"/>
    <w:rsid w:val="007011DC"/>
    <w:rsid w:val="00702209"/>
    <w:rsid w:val="0074679F"/>
    <w:rsid w:val="0074721F"/>
    <w:rsid w:val="00752EEA"/>
    <w:rsid w:val="00754665"/>
    <w:rsid w:val="00770C6D"/>
    <w:rsid w:val="00782313"/>
    <w:rsid w:val="0078545E"/>
    <w:rsid w:val="007939C9"/>
    <w:rsid w:val="00795A46"/>
    <w:rsid w:val="007A58D9"/>
    <w:rsid w:val="007D712D"/>
    <w:rsid w:val="007E0250"/>
    <w:rsid w:val="007E0C88"/>
    <w:rsid w:val="008022EE"/>
    <w:rsid w:val="00804421"/>
    <w:rsid w:val="008051DE"/>
    <w:rsid w:val="008061E9"/>
    <w:rsid w:val="00814C1C"/>
    <w:rsid w:val="00817599"/>
    <w:rsid w:val="0083340C"/>
    <w:rsid w:val="00836188"/>
    <w:rsid w:val="00841F0C"/>
    <w:rsid w:val="008423A5"/>
    <w:rsid w:val="00890A22"/>
    <w:rsid w:val="008969FA"/>
    <w:rsid w:val="008A5C7F"/>
    <w:rsid w:val="008D4624"/>
    <w:rsid w:val="008E5D76"/>
    <w:rsid w:val="00913314"/>
    <w:rsid w:val="00914196"/>
    <w:rsid w:val="00917DF5"/>
    <w:rsid w:val="00951D15"/>
    <w:rsid w:val="0096587F"/>
    <w:rsid w:val="00971540"/>
    <w:rsid w:val="0097275C"/>
    <w:rsid w:val="00982B1D"/>
    <w:rsid w:val="009839C3"/>
    <w:rsid w:val="009A111E"/>
    <w:rsid w:val="009D1B97"/>
    <w:rsid w:val="009D3BF9"/>
    <w:rsid w:val="009E4CED"/>
    <w:rsid w:val="009F4052"/>
    <w:rsid w:val="00A05F6A"/>
    <w:rsid w:val="00A06525"/>
    <w:rsid w:val="00A0737E"/>
    <w:rsid w:val="00A10569"/>
    <w:rsid w:val="00A14FBA"/>
    <w:rsid w:val="00A23437"/>
    <w:rsid w:val="00A27242"/>
    <w:rsid w:val="00A2773E"/>
    <w:rsid w:val="00A34B8F"/>
    <w:rsid w:val="00A42A15"/>
    <w:rsid w:val="00A57A32"/>
    <w:rsid w:val="00A719B4"/>
    <w:rsid w:val="00A82080"/>
    <w:rsid w:val="00A86D18"/>
    <w:rsid w:val="00AB2C5E"/>
    <w:rsid w:val="00AB6A65"/>
    <w:rsid w:val="00AC263D"/>
    <w:rsid w:val="00AE4AC1"/>
    <w:rsid w:val="00B26DF7"/>
    <w:rsid w:val="00B440EF"/>
    <w:rsid w:val="00B44F28"/>
    <w:rsid w:val="00B51A2B"/>
    <w:rsid w:val="00B72F92"/>
    <w:rsid w:val="00B81BA8"/>
    <w:rsid w:val="00B85BE5"/>
    <w:rsid w:val="00B95811"/>
    <w:rsid w:val="00B960B1"/>
    <w:rsid w:val="00B96366"/>
    <w:rsid w:val="00BB4ADF"/>
    <w:rsid w:val="00BB5EF1"/>
    <w:rsid w:val="00BB732F"/>
    <w:rsid w:val="00BB7B3C"/>
    <w:rsid w:val="00BC4DEE"/>
    <w:rsid w:val="00BC753B"/>
    <w:rsid w:val="00BE495A"/>
    <w:rsid w:val="00BF1A67"/>
    <w:rsid w:val="00BF509F"/>
    <w:rsid w:val="00C0624E"/>
    <w:rsid w:val="00C0684C"/>
    <w:rsid w:val="00C15053"/>
    <w:rsid w:val="00C15B9A"/>
    <w:rsid w:val="00C2154B"/>
    <w:rsid w:val="00C326CD"/>
    <w:rsid w:val="00C36947"/>
    <w:rsid w:val="00C36F38"/>
    <w:rsid w:val="00C37441"/>
    <w:rsid w:val="00C410AB"/>
    <w:rsid w:val="00C95A64"/>
    <w:rsid w:val="00CA2304"/>
    <w:rsid w:val="00CB000B"/>
    <w:rsid w:val="00CB1114"/>
    <w:rsid w:val="00CB4EDE"/>
    <w:rsid w:val="00CB68EA"/>
    <w:rsid w:val="00CF14BE"/>
    <w:rsid w:val="00CF2D84"/>
    <w:rsid w:val="00D0334B"/>
    <w:rsid w:val="00D15F8A"/>
    <w:rsid w:val="00D43E7A"/>
    <w:rsid w:val="00D44B60"/>
    <w:rsid w:val="00D74208"/>
    <w:rsid w:val="00D8205A"/>
    <w:rsid w:val="00D83586"/>
    <w:rsid w:val="00DB5F09"/>
    <w:rsid w:val="00DC5857"/>
    <w:rsid w:val="00DD07AB"/>
    <w:rsid w:val="00DD396C"/>
    <w:rsid w:val="00DD7230"/>
    <w:rsid w:val="00DE70A0"/>
    <w:rsid w:val="00DE738E"/>
    <w:rsid w:val="00E01E31"/>
    <w:rsid w:val="00E0465C"/>
    <w:rsid w:val="00E122E0"/>
    <w:rsid w:val="00E42E0A"/>
    <w:rsid w:val="00E80A8F"/>
    <w:rsid w:val="00E82885"/>
    <w:rsid w:val="00E93D77"/>
    <w:rsid w:val="00EA3820"/>
    <w:rsid w:val="00EC3224"/>
    <w:rsid w:val="00ED48CA"/>
    <w:rsid w:val="00ED6CE4"/>
    <w:rsid w:val="00EF752D"/>
    <w:rsid w:val="00F21EF6"/>
    <w:rsid w:val="00F25919"/>
    <w:rsid w:val="00F40162"/>
    <w:rsid w:val="00F5199A"/>
    <w:rsid w:val="00F73CE0"/>
    <w:rsid w:val="00F7440C"/>
    <w:rsid w:val="00F77B0F"/>
    <w:rsid w:val="00F83232"/>
    <w:rsid w:val="00F95877"/>
    <w:rsid w:val="00F95A81"/>
    <w:rsid w:val="00FA7B2C"/>
    <w:rsid w:val="00FB6993"/>
    <w:rsid w:val="00FC4A81"/>
    <w:rsid w:val="00FD3421"/>
    <w:rsid w:val="00FE46A0"/>
    <w:rsid w:val="00FF7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6668E"/>
  <w15:docId w15:val="{9F5CFD4A-A944-4BA5-8D7D-866FC768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7440C"/>
    <w:pPr>
      <w:tabs>
        <w:tab w:val="left" w:pos="567"/>
      </w:tabs>
      <w:spacing w:before="60" w:after="120" w:line="240" w:lineRule="auto"/>
    </w:pPr>
    <w:rPr>
      <w:rFonts w:ascii=".VnTime" w:eastAsia="Times New Roman" w:hAnsi=".VnTime"/>
      <w:szCs w:val="20"/>
    </w:rPr>
  </w:style>
  <w:style w:type="character" w:customStyle="1" w:styleId="BodyTextChar">
    <w:name w:val="Body Text Char"/>
    <w:basedOn w:val="DefaultParagraphFont"/>
    <w:link w:val="BodyText"/>
    <w:uiPriority w:val="1"/>
    <w:rsid w:val="00F7440C"/>
    <w:rPr>
      <w:rFonts w:ascii=".VnTime" w:eastAsia="Times New Roman" w:hAnsi=".VnTime"/>
      <w:szCs w:val="20"/>
    </w:rPr>
  </w:style>
  <w:style w:type="paragraph" w:styleId="FootnoteText">
    <w:name w:val="footnote text"/>
    <w:basedOn w:val="Normal"/>
    <w:link w:val="FootnoteTextChar"/>
    <w:uiPriority w:val="99"/>
    <w:semiHidden/>
    <w:unhideWhenUsed/>
    <w:rsid w:val="000B39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97E"/>
    <w:rPr>
      <w:sz w:val="20"/>
      <w:szCs w:val="20"/>
    </w:rPr>
  </w:style>
  <w:style w:type="character" w:styleId="FootnoteReference">
    <w:name w:val="footnote reference"/>
    <w:aliases w:val="Footnote,Footnote text,ftref,Ref,de nota al pie,Footnote Text1,BearingPoint,16 Point,Superscript 6 Point,fr,Footnote Text11,f1,Footnote + Arial,10 pt,Black,Footnote Text111,BVI fnr,(NECG) Footnote Reference,footnote ref,BVI,f2,fr Char,R"/>
    <w:basedOn w:val="DefaultParagraphFont"/>
    <w:link w:val="ftrefCharCharChar1Char"/>
    <w:uiPriority w:val="99"/>
    <w:unhideWhenUsed/>
    <w:qFormat/>
    <w:rsid w:val="000B397E"/>
    <w:rPr>
      <w:vertAlign w:val="superscript"/>
    </w:rPr>
  </w:style>
  <w:style w:type="paragraph" w:styleId="BalloonText">
    <w:name w:val="Balloon Text"/>
    <w:basedOn w:val="Normal"/>
    <w:link w:val="BalloonTextChar"/>
    <w:uiPriority w:val="99"/>
    <w:semiHidden/>
    <w:unhideWhenUsed/>
    <w:rsid w:val="008969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9FA"/>
    <w:rPr>
      <w:rFonts w:ascii="Segoe UI" w:hAnsi="Segoe UI" w:cs="Segoe UI"/>
      <w:sz w:val="18"/>
      <w:szCs w:val="18"/>
    </w:rPr>
  </w:style>
  <w:style w:type="paragraph" w:customStyle="1" w:styleId="Default">
    <w:name w:val="Default"/>
    <w:rsid w:val="00BB5EF1"/>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637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957"/>
  </w:style>
  <w:style w:type="paragraph" w:styleId="Footer">
    <w:name w:val="footer"/>
    <w:basedOn w:val="Normal"/>
    <w:link w:val="FooterChar"/>
    <w:unhideWhenUsed/>
    <w:rsid w:val="00637957"/>
    <w:pPr>
      <w:tabs>
        <w:tab w:val="center" w:pos="4680"/>
        <w:tab w:val="right" w:pos="9360"/>
      </w:tabs>
      <w:spacing w:after="0" w:line="240" w:lineRule="auto"/>
    </w:pPr>
  </w:style>
  <w:style w:type="character" w:customStyle="1" w:styleId="FooterChar">
    <w:name w:val="Footer Char"/>
    <w:basedOn w:val="DefaultParagraphFont"/>
    <w:link w:val="Footer"/>
    <w:rsid w:val="00637957"/>
  </w:style>
  <w:style w:type="character" w:customStyle="1" w:styleId="fontstyle01">
    <w:name w:val="fontstyle01"/>
    <w:basedOn w:val="DefaultParagraphFont"/>
    <w:qFormat/>
    <w:rsid w:val="00360B66"/>
    <w:rPr>
      <w:rFonts w:ascii="Times New Roman" w:hAnsi="Times New Roman" w:cs="Times New Roman" w:hint="default"/>
      <w:b/>
      <w:bCs/>
      <w:color w:val="000000"/>
      <w:sz w:val="28"/>
      <w:szCs w:val="28"/>
    </w:rPr>
  </w:style>
  <w:style w:type="paragraph" w:styleId="NormalWeb">
    <w:name w:val="Normal (Web)"/>
    <w:basedOn w:val="Normal"/>
    <w:link w:val="NormalWebChar"/>
    <w:uiPriority w:val="99"/>
    <w:qFormat/>
    <w:rsid w:val="003E6BF3"/>
    <w:pPr>
      <w:spacing w:before="240" w:after="240" w:line="240" w:lineRule="auto"/>
    </w:pPr>
    <w:rPr>
      <w:rFonts w:eastAsia="Times New Roman"/>
      <w:sz w:val="24"/>
      <w:szCs w:val="24"/>
    </w:rPr>
  </w:style>
  <w:style w:type="character" w:customStyle="1" w:styleId="NormalWebChar">
    <w:name w:val="Normal (Web) Char"/>
    <w:link w:val="NormalWeb"/>
    <w:rsid w:val="003E6BF3"/>
    <w:rPr>
      <w:rFonts w:eastAsia="Times New Roman"/>
      <w:sz w:val="24"/>
      <w:szCs w:val="24"/>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9D1B97"/>
    <w:pPr>
      <w:spacing w:line="240" w:lineRule="exact"/>
    </w:pPr>
    <w:rPr>
      <w:vertAlign w:val="superscript"/>
    </w:rPr>
  </w:style>
  <w:style w:type="character" w:customStyle="1" w:styleId="fontstyle21">
    <w:name w:val="fontstyle21"/>
    <w:rsid w:val="00ED6CE4"/>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5F7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667971">
      <w:bodyDiv w:val="1"/>
      <w:marLeft w:val="0"/>
      <w:marRight w:val="0"/>
      <w:marTop w:val="0"/>
      <w:marBottom w:val="0"/>
      <w:divBdr>
        <w:top w:val="none" w:sz="0" w:space="0" w:color="auto"/>
        <w:left w:val="none" w:sz="0" w:space="0" w:color="auto"/>
        <w:bottom w:val="none" w:sz="0" w:space="0" w:color="auto"/>
        <w:right w:val="none" w:sz="0" w:space="0" w:color="auto"/>
      </w:divBdr>
    </w:div>
    <w:div w:id="393049035">
      <w:bodyDiv w:val="1"/>
      <w:marLeft w:val="0"/>
      <w:marRight w:val="0"/>
      <w:marTop w:val="0"/>
      <w:marBottom w:val="0"/>
      <w:divBdr>
        <w:top w:val="none" w:sz="0" w:space="0" w:color="auto"/>
        <w:left w:val="none" w:sz="0" w:space="0" w:color="auto"/>
        <w:bottom w:val="none" w:sz="0" w:space="0" w:color="auto"/>
        <w:right w:val="none" w:sz="0" w:space="0" w:color="auto"/>
      </w:divBdr>
    </w:div>
    <w:div w:id="204074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72448-3FBE-473D-AA27-C159D6666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Trương Quang Vương</dc:creator>
  <cp:lastModifiedBy>WELLCOM DU</cp:lastModifiedBy>
  <cp:revision>2</cp:revision>
  <cp:lastPrinted>2024-12-06T09:01:00Z</cp:lastPrinted>
  <dcterms:created xsi:type="dcterms:W3CDTF">2024-12-18T04:00:00Z</dcterms:created>
  <dcterms:modified xsi:type="dcterms:W3CDTF">2024-12-18T04:00:00Z</dcterms:modified>
</cp:coreProperties>
</file>